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B00D" w14:textId="77777777" w:rsidR="00E96424" w:rsidRDefault="00E96424" w:rsidP="00283F3B">
      <w:pPr>
        <w:pStyle w:val="BodyText1"/>
      </w:pPr>
      <w:bookmarkStart w:id="0" w:name="_GoBack"/>
      <w:bookmarkEnd w:id="0"/>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14:paraId="6E093483" w14:textId="77777777" w:rsidTr="00094D1D">
        <w:trPr>
          <w:trHeight w:hRule="exact" w:val="2268"/>
        </w:trPr>
        <w:tc>
          <w:tcPr>
            <w:tcW w:w="9576" w:type="dxa"/>
            <w:tcMar>
              <w:top w:w="794" w:type="dxa"/>
            </w:tcMar>
            <w:vAlign w:val="bottom"/>
          </w:tcPr>
          <w:p w14:paraId="5102A88E" w14:textId="77777777" w:rsidR="00166C30" w:rsidRPr="000E36A8" w:rsidRDefault="00C02437" w:rsidP="00F96393">
            <w:pPr>
              <w:pStyle w:val="Title"/>
            </w:pPr>
            <w:r>
              <w:t xml:space="preserve">Exercise of discretion to </w:t>
            </w:r>
            <w:r w:rsidR="00690CA6">
              <w:t>refuse request for personal information not unreasonable</w:t>
            </w:r>
          </w:p>
        </w:tc>
      </w:tr>
      <w:tr w:rsidR="00C87D78" w14:paraId="48A3C46C" w14:textId="77777777" w:rsidTr="00094D1D">
        <w:trPr>
          <w:trHeight w:hRule="exact" w:val="340"/>
        </w:trPr>
        <w:tc>
          <w:tcPr>
            <w:tcW w:w="9576" w:type="dxa"/>
            <w:vAlign w:val="bottom"/>
          </w:tcPr>
          <w:p w14:paraId="72307920" w14:textId="77777777" w:rsidR="00C87D78" w:rsidRDefault="00C87D78" w:rsidP="00C731DE"/>
        </w:tc>
      </w:tr>
      <w:tr w:rsidR="00F417FD" w14:paraId="3931D129" w14:textId="77777777" w:rsidTr="00094D1D">
        <w:trPr>
          <w:trHeight w:val="2098"/>
        </w:trPr>
        <w:tc>
          <w:tcPr>
            <w:tcW w:w="9576" w:type="dxa"/>
          </w:tcPr>
          <w:p w14:paraId="4DB3508E" w14:textId="77777777" w:rsidR="00F417FD" w:rsidRPr="00971749" w:rsidRDefault="00F417FD" w:rsidP="00971749">
            <w:pPr>
              <w:pStyle w:val="Heading1-Subnonboldtext"/>
            </w:pPr>
            <w:r w:rsidRPr="00971749">
              <w:rPr>
                <w:rStyle w:val="Heading1-Sub"/>
              </w:rPr>
              <w:t>Legislation</w:t>
            </w:r>
            <w:r w:rsidRPr="00971749">
              <w:tab/>
            </w:r>
            <w:r w:rsidR="00690CA6">
              <w:t>Ombudsmen Act 1975, Tax Administration Act 1994</w:t>
            </w:r>
            <w:r w:rsidR="0099018C">
              <w:t>, Privacy Act 2020</w:t>
            </w:r>
          </w:p>
          <w:p w14:paraId="732631F2" w14:textId="77777777" w:rsidR="00F417FD" w:rsidRPr="00971749" w:rsidRDefault="00F417FD" w:rsidP="00971749">
            <w:pPr>
              <w:pStyle w:val="Heading1-Subnonboldtext"/>
            </w:pPr>
            <w:r w:rsidRPr="00971749">
              <w:rPr>
                <w:rStyle w:val="Heading1-Sub"/>
              </w:rPr>
              <w:t>Agency</w:t>
            </w:r>
            <w:r w:rsidRPr="00971749">
              <w:tab/>
            </w:r>
            <w:r w:rsidR="00690CA6">
              <w:t>Inland Revenue</w:t>
            </w:r>
          </w:p>
          <w:p w14:paraId="1B57135E" w14:textId="77777777" w:rsidR="00F417FD" w:rsidRPr="00971749" w:rsidRDefault="00F417FD" w:rsidP="00971749">
            <w:pPr>
              <w:pStyle w:val="Heading1-Subnonboldtext"/>
            </w:pPr>
            <w:r w:rsidRPr="00971749">
              <w:rPr>
                <w:rStyle w:val="Heading1-Sub"/>
              </w:rPr>
              <w:t>Ombudsman</w:t>
            </w:r>
            <w:r w:rsidRPr="00971749">
              <w:tab/>
            </w:r>
            <w:r w:rsidR="00690CA6">
              <w:t>Peter Boshier</w:t>
            </w:r>
          </w:p>
          <w:p w14:paraId="768EB9C3" w14:textId="77777777" w:rsidR="00F417FD" w:rsidRPr="00971749" w:rsidRDefault="00F417FD" w:rsidP="00971749">
            <w:pPr>
              <w:pStyle w:val="Heading1-Subnonboldtext"/>
            </w:pPr>
            <w:r w:rsidRPr="00971749">
              <w:rPr>
                <w:rStyle w:val="Heading1-Sub"/>
              </w:rPr>
              <w:t>Case number(s)</w:t>
            </w:r>
            <w:r w:rsidRPr="00971749">
              <w:tab/>
            </w:r>
            <w:r w:rsidR="00690CA6">
              <w:t>538720</w:t>
            </w:r>
          </w:p>
          <w:p w14:paraId="5C796C05" w14:textId="77777777" w:rsidR="00F417FD" w:rsidRPr="00F417FD" w:rsidRDefault="00F417FD" w:rsidP="00690CA6">
            <w:pPr>
              <w:pStyle w:val="Heading1-Subnonboldtext"/>
            </w:pPr>
            <w:r w:rsidRPr="00971749">
              <w:rPr>
                <w:rStyle w:val="Heading1-Sub"/>
              </w:rPr>
              <w:t>Date</w:t>
            </w:r>
            <w:r w:rsidRPr="00971749">
              <w:tab/>
            </w:r>
            <w:r w:rsidR="00690CA6">
              <w:t>21 July 2022</w:t>
            </w:r>
          </w:p>
        </w:tc>
      </w:tr>
    </w:tbl>
    <w:p w14:paraId="4731E776" w14:textId="77777777" w:rsidR="00094D1D" w:rsidRPr="00094D1D" w:rsidRDefault="00094D1D" w:rsidP="00094D1D">
      <w:pPr>
        <w:pStyle w:val="Guidelines"/>
        <w:rPr>
          <w:color w:val="auto"/>
        </w:rPr>
      </w:pPr>
    </w:p>
    <w:p w14:paraId="60898457" w14:textId="0F906B32" w:rsidR="00FA48B0" w:rsidRPr="0099018C" w:rsidRDefault="00690CA6" w:rsidP="00E77A82">
      <w:pPr>
        <w:pStyle w:val="BodyText"/>
        <w:rPr>
          <w:rStyle w:val="Italics"/>
        </w:rPr>
      </w:pPr>
      <w:r w:rsidRPr="0099018C">
        <w:rPr>
          <w:rStyle w:val="Italics"/>
        </w:rPr>
        <w:t>Complainant requested personal information from Inland Revenue –</w:t>
      </w:r>
      <w:r w:rsidR="0099018C" w:rsidRPr="0099018C">
        <w:rPr>
          <w:rStyle w:val="Italics"/>
        </w:rPr>
        <w:t xml:space="preserve"> information </w:t>
      </w:r>
      <w:r w:rsidR="00483BA2">
        <w:rPr>
          <w:rStyle w:val="Italics"/>
        </w:rPr>
        <w:t xml:space="preserve">at issue </w:t>
      </w:r>
      <w:r w:rsidR="0099018C" w:rsidRPr="0099018C">
        <w:rPr>
          <w:rStyle w:val="Italics"/>
        </w:rPr>
        <w:t>was provided</w:t>
      </w:r>
      <w:r w:rsidR="005F3639">
        <w:rPr>
          <w:rStyle w:val="Italics"/>
        </w:rPr>
        <w:t xml:space="preserve"> </w:t>
      </w:r>
      <w:r w:rsidR="005F3639" w:rsidRPr="0099018C">
        <w:rPr>
          <w:rStyle w:val="Italics"/>
        </w:rPr>
        <w:t>confidentially</w:t>
      </w:r>
      <w:r w:rsidR="005F3639">
        <w:rPr>
          <w:rStyle w:val="Italics"/>
        </w:rPr>
        <w:t xml:space="preserve"> to Inland Revenue</w:t>
      </w:r>
      <w:r w:rsidR="0099018C" w:rsidRPr="0099018C">
        <w:rPr>
          <w:rStyle w:val="Italics"/>
        </w:rPr>
        <w:t xml:space="preserve"> by a third </w:t>
      </w:r>
      <w:r w:rsidR="007E03E4">
        <w:rPr>
          <w:rStyle w:val="Italics"/>
        </w:rPr>
        <w:t>party</w:t>
      </w:r>
      <w:r w:rsidR="007E03E4" w:rsidRPr="0099018C">
        <w:rPr>
          <w:rStyle w:val="Italics"/>
        </w:rPr>
        <w:t xml:space="preserve"> </w:t>
      </w:r>
      <w:r w:rsidR="0099018C" w:rsidRPr="0099018C">
        <w:rPr>
          <w:rStyle w:val="Italics"/>
        </w:rPr>
        <w:t xml:space="preserve">– </w:t>
      </w:r>
      <w:r w:rsidRPr="0099018C">
        <w:rPr>
          <w:rStyle w:val="Italics"/>
        </w:rPr>
        <w:t xml:space="preserve">Inland Revenue refused the request under s18 of the Tax Administration Act </w:t>
      </w:r>
      <w:r w:rsidR="001360D2">
        <w:rPr>
          <w:rStyle w:val="Italics"/>
        </w:rPr>
        <w:t xml:space="preserve">1994 </w:t>
      </w:r>
      <w:r w:rsidRPr="0099018C">
        <w:rPr>
          <w:rStyle w:val="Italics"/>
        </w:rPr>
        <w:t xml:space="preserve">as the information was ‘sensitive revenue information’ </w:t>
      </w:r>
      <w:r w:rsidR="0099018C" w:rsidRPr="0099018C">
        <w:rPr>
          <w:rStyle w:val="Italics"/>
        </w:rPr>
        <w:t>–</w:t>
      </w:r>
      <w:r w:rsidRPr="0099018C">
        <w:rPr>
          <w:rStyle w:val="Italics"/>
        </w:rPr>
        <w:t xml:space="preserve"> Commissioner exercised their discretion not </w:t>
      </w:r>
      <w:r w:rsidR="0099018C" w:rsidRPr="0099018C">
        <w:rPr>
          <w:rStyle w:val="Italics"/>
        </w:rPr>
        <w:t>to release the</w:t>
      </w:r>
      <w:r w:rsidRPr="0099018C">
        <w:rPr>
          <w:rStyle w:val="Italics"/>
        </w:rPr>
        <w:t xml:space="preserve"> information to the person the information was about – release would </w:t>
      </w:r>
      <w:r w:rsidR="0099018C" w:rsidRPr="0099018C">
        <w:rPr>
          <w:rStyle w:val="Italics"/>
        </w:rPr>
        <w:t xml:space="preserve">adversely affect the integrity of the tax system – </w:t>
      </w:r>
      <w:r w:rsidR="001360D2">
        <w:rPr>
          <w:rStyle w:val="Italics"/>
        </w:rPr>
        <w:t xml:space="preserve">under the Ombudsmen Act 1975 the </w:t>
      </w:r>
      <w:r w:rsidR="0099018C" w:rsidRPr="0099018C">
        <w:rPr>
          <w:rStyle w:val="Italics"/>
        </w:rPr>
        <w:t xml:space="preserve">Chief Ombudsman investigated the Commissioner’s exercise of discretion </w:t>
      </w:r>
      <w:r w:rsidR="005F3639">
        <w:rPr>
          <w:rStyle w:val="Italics"/>
        </w:rPr>
        <w:t>and found the decision was not unreasonable</w:t>
      </w:r>
    </w:p>
    <w:p w14:paraId="16A6DBB8" w14:textId="77777777" w:rsidR="00E77A82" w:rsidRDefault="00E77A82" w:rsidP="00E77A82">
      <w:pPr>
        <w:pStyle w:val="Heading1"/>
      </w:pPr>
      <w:r>
        <w:t>Background</w:t>
      </w:r>
    </w:p>
    <w:p w14:paraId="1A47DAB8" w14:textId="30B622F1" w:rsidR="00E77A82" w:rsidRDefault="0099018C" w:rsidP="00E77A82">
      <w:pPr>
        <w:pStyle w:val="BodyText"/>
      </w:pPr>
      <w:r>
        <w:t xml:space="preserve">The complainant made a request for information </w:t>
      </w:r>
      <w:r w:rsidR="00476A16">
        <w:t xml:space="preserve">about themselves that </w:t>
      </w:r>
      <w:r>
        <w:t xml:space="preserve">they </w:t>
      </w:r>
      <w:r w:rsidR="000F4EB2">
        <w:t>believe</w:t>
      </w:r>
      <w:r w:rsidR="00483BA2">
        <w:t>d</w:t>
      </w:r>
      <w:r w:rsidR="000F4EB2">
        <w:t xml:space="preserve"> </w:t>
      </w:r>
      <w:r w:rsidR="00476A16">
        <w:t>had been</w:t>
      </w:r>
      <w:r w:rsidR="000F4EB2">
        <w:t xml:space="preserve"> provided to Inland Revenue (IR)</w:t>
      </w:r>
      <w:r w:rsidR="00476A16">
        <w:t xml:space="preserve"> by a third party</w:t>
      </w:r>
      <w:r w:rsidR="000F4EB2">
        <w:t xml:space="preserve">. IR </w:t>
      </w:r>
      <w:r w:rsidR="006954EA">
        <w:t>provided a summary of the information it had received but refused to provide a full copy of the information, or details of who provided it, under section 18 of the Tax Administration Act 1994 (TAA).</w:t>
      </w:r>
    </w:p>
    <w:p w14:paraId="519E7326" w14:textId="77777777" w:rsidR="00E77A82" w:rsidRDefault="00E77A82" w:rsidP="00E77A82">
      <w:pPr>
        <w:pStyle w:val="Heading1"/>
      </w:pPr>
      <w:r>
        <w:t>Investigation</w:t>
      </w:r>
    </w:p>
    <w:p w14:paraId="46B45C62" w14:textId="40E762EA" w:rsidR="00982DFF" w:rsidRDefault="003C2C6A" w:rsidP="00E77A82">
      <w:pPr>
        <w:pStyle w:val="BodyText"/>
      </w:pPr>
      <w:r>
        <w:t>R</w:t>
      </w:r>
      <w:r w:rsidR="00A86091">
        <w:t>equests for personal information about an individual</w:t>
      </w:r>
      <w:r w:rsidR="00C75066" w:rsidRPr="00DB2F61">
        <w:t xml:space="preserve"> are </w:t>
      </w:r>
      <w:r>
        <w:t xml:space="preserve">generally </w:t>
      </w:r>
      <w:r w:rsidR="00C75066" w:rsidRPr="00DB2F61">
        <w:t>considered under the Privacy Act</w:t>
      </w:r>
      <w:r w:rsidR="00C25347">
        <w:t xml:space="preserve"> 2020</w:t>
      </w:r>
      <w:r w:rsidR="00C75066" w:rsidRPr="00DB2F61">
        <w:t xml:space="preserve">, and complaints about responses </w:t>
      </w:r>
      <w:r w:rsidR="00A801E7">
        <w:t xml:space="preserve">to such requests </w:t>
      </w:r>
      <w:r w:rsidR="00C75066" w:rsidRPr="00DB2F61">
        <w:t>are dealt with by the Privacy Commissioner.</w:t>
      </w:r>
      <w:r w:rsidR="00C75066">
        <w:t xml:space="preserve"> </w:t>
      </w:r>
      <w:r w:rsidR="00A86091" w:rsidRPr="00E21731">
        <w:t xml:space="preserve">However, </w:t>
      </w:r>
      <w:r w:rsidR="00A86091">
        <w:t xml:space="preserve">section 18 of the TAA overrides </w:t>
      </w:r>
      <w:r w:rsidR="00A86091" w:rsidRPr="00E21731">
        <w:t>the Privacy Act</w:t>
      </w:r>
      <w:r w:rsidR="00A86091">
        <w:t>.</w:t>
      </w:r>
      <w:r w:rsidR="00A86091" w:rsidRPr="00A86091">
        <w:t xml:space="preserve"> </w:t>
      </w:r>
      <w:r w:rsidR="00A86091" w:rsidRPr="00E21731">
        <w:t>This mean</w:t>
      </w:r>
      <w:r w:rsidR="00982DFF">
        <w:t>t</w:t>
      </w:r>
      <w:r w:rsidR="00A86091" w:rsidRPr="00E21731">
        <w:t xml:space="preserve"> that while the in</w:t>
      </w:r>
      <w:r w:rsidR="00A86091">
        <w:t>formation requested was</w:t>
      </w:r>
      <w:r w:rsidR="00A801E7">
        <w:t xml:space="preserve"> personal information</w:t>
      </w:r>
      <w:r w:rsidR="00A86091">
        <w:t xml:space="preserve"> about the request</w:t>
      </w:r>
      <w:r w:rsidR="007E03E4">
        <w:t>e</w:t>
      </w:r>
      <w:r w:rsidR="00A86091">
        <w:t>r</w:t>
      </w:r>
      <w:r w:rsidR="00A86091" w:rsidRPr="00E21731">
        <w:t xml:space="preserve">, it </w:t>
      </w:r>
      <w:r w:rsidR="00A86091">
        <w:t>was the TAA that governed</w:t>
      </w:r>
      <w:r w:rsidR="00A86091" w:rsidRPr="00E21731">
        <w:t xml:space="preserve"> </w:t>
      </w:r>
      <w:r w:rsidR="000850EF">
        <w:t>the disclosure of this information</w:t>
      </w:r>
      <w:r w:rsidR="00A86091">
        <w:t>,</w:t>
      </w:r>
      <w:r w:rsidR="00A86091" w:rsidRPr="00E21731">
        <w:t xml:space="preserve"> not the Privacy Act. The Privacy Commissioner </w:t>
      </w:r>
      <w:r w:rsidR="00A86091">
        <w:t>agreed that the requested i</w:t>
      </w:r>
      <w:r w:rsidR="00A86091" w:rsidRPr="00E21731">
        <w:t xml:space="preserve">nformation </w:t>
      </w:r>
      <w:r w:rsidR="00A86091">
        <w:t>was</w:t>
      </w:r>
      <w:r w:rsidR="00A86091" w:rsidRPr="00E21731">
        <w:t xml:space="preserve"> caught by section 18</w:t>
      </w:r>
      <w:r w:rsidR="00982DFF">
        <w:t xml:space="preserve"> of the TAA</w:t>
      </w:r>
      <w:r w:rsidR="00A86091" w:rsidRPr="00E21731">
        <w:t xml:space="preserve">. </w:t>
      </w:r>
    </w:p>
    <w:p w14:paraId="104904CE" w14:textId="535247D9" w:rsidR="00E77A82" w:rsidRDefault="00F35E0E" w:rsidP="00E77A82">
      <w:pPr>
        <w:pStyle w:val="BodyText"/>
      </w:pPr>
      <w:r>
        <w:lastRenderedPageBreak/>
        <w:t>Under the Ombudsmen Act 1975 (OA), an Ombudsman can investigate c</w:t>
      </w:r>
      <w:r w:rsidRPr="00F35E0E">
        <w:t>omplaints about</w:t>
      </w:r>
      <w:r>
        <w:t xml:space="preserve"> an agency’s decisions, acts or omissions. </w:t>
      </w:r>
      <w:r w:rsidR="00F951A3">
        <w:t xml:space="preserve">Revenue information is required to be kept confidential, although IR does have discretion to </w:t>
      </w:r>
      <w:r w:rsidR="004B3DD2" w:rsidRPr="005E01BE">
        <w:t>release information in certain circumstances.</w:t>
      </w:r>
      <w:r w:rsidR="00F951A3">
        <w:rPr>
          <w:rStyle w:val="FootnoteReference"/>
        </w:rPr>
        <w:footnoteReference w:id="2"/>
      </w:r>
      <w:r w:rsidR="004B3DD2" w:rsidRPr="005E01BE">
        <w:t xml:space="preserve"> In this case, </w:t>
      </w:r>
      <w:r w:rsidR="004B3DD2">
        <w:t xml:space="preserve">the Ombudsman’s </w:t>
      </w:r>
      <w:r w:rsidR="004B3DD2" w:rsidRPr="005E01BE">
        <w:t xml:space="preserve">role </w:t>
      </w:r>
      <w:r w:rsidR="004B3DD2">
        <w:t>wa</w:t>
      </w:r>
      <w:r w:rsidR="004B3DD2" w:rsidRPr="005E01BE">
        <w:t>s to investigate</w:t>
      </w:r>
      <w:r w:rsidR="004B3DD2">
        <w:t xml:space="preserve"> whether IR acted unreasonably</w:t>
      </w:r>
      <w:r w:rsidR="0089610D">
        <w:t xml:space="preserve"> in exercising its discretion not to release the information at issue to the request</w:t>
      </w:r>
      <w:r w:rsidR="002D565F">
        <w:t>e</w:t>
      </w:r>
      <w:r w:rsidR="0089610D">
        <w:t>r</w:t>
      </w:r>
      <w:r w:rsidR="004B3DD2">
        <w:t>.</w:t>
      </w:r>
    </w:p>
    <w:p w14:paraId="6399885F" w14:textId="53D58AFB" w:rsidR="00456616" w:rsidRDefault="00982DFF" w:rsidP="00456616">
      <w:pPr>
        <w:pStyle w:val="BodyText"/>
      </w:pPr>
      <w:r w:rsidRPr="00B06BE0">
        <w:t>IR consider</w:t>
      </w:r>
      <w:r>
        <w:t>ed</w:t>
      </w:r>
      <w:r w:rsidRPr="00B06BE0">
        <w:t xml:space="preserve"> the information </w:t>
      </w:r>
      <w:r>
        <w:t xml:space="preserve">at issue to be </w:t>
      </w:r>
      <w:r w:rsidRPr="00A801E7">
        <w:rPr>
          <w:rStyle w:val="Italics"/>
        </w:rPr>
        <w:t>‘sensitive revenue information’</w:t>
      </w:r>
      <w:r>
        <w:t xml:space="preserve">. </w:t>
      </w:r>
      <w:r w:rsidRPr="00B06BE0">
        <w:t xml:space="preserve">Information is considered </w:t>
      </w:r>
      <w:r w:rsidRPr="00982DFF">
        <w:rPr>
          <w:rStyle w:val="Quotationwithinthesentence"/>
        </w:rPr>
        <w:t>‘sensitive revenue information’</w:t>
      </w:r>
      <w:r w:rsidRPr="00B06BE0">
        <w:t xml:space="preserve"> if it can likely identify an individual, or would likely be regarded as private or confidential, or the release of that information could cause harm or prejudice to the person whom it is about.</w:t>
      </w:r>
      <w:r w:rsidR="005D75DC">
        <w:rPr>
          <w:rStyle w:val="FootnoteReference"/>
        </w:rPr>
        <w:footnoteReference w:id="3"/>
      </w:r>
      <w:r w:rsidRPr="00B06BE0">
        <w:t xml:space="preserve"> </w:t>
      </w:r>
      <w:r w:rsidR="00456616" w:rsidRPr="00B06BE0">
        <w:t>IR</w:t>
      </w:r>
      <w:r w:rsidR="00A801E7">
        <w:t xml:space="preserve"> stated it is legally obligated</w:t>
      </w:r>
      <w:r w:rsidR="003C2C6A">
        <w:t xml:space="preserve"> </w:t>
      </w:r>
      <w:r>
        <w:t xml:space="preserve">to maintain the confidentiality of all sensitive revenue information, and must not disclose it unless it is legally permitted to do so. The Ombudsman accepted that the information was </w:t>
      </w:r>
      <w:r w:rsidRPr="00A801E7">
        <w:rPr>
          <w:rStyle w:val="Italics"/>
        </w:rPr>
        <w:t>‘sensitive revenue</w:t>
      </w:r>
      <w:r>
        <w:t xml:space="preserve"> </w:t>
      </w:r>
      <w:r w:rsidRPr="0086141C">
        <w:rPr>
          <w:rStyle w:val="Italics"/>
        </w:rPr>
        <w:t>information’</w:t>
      </w:r>
      <w:r>
        <w:t xml:space="preserve"> </w:t>
      </w:r>
      <w:r w:rsidR="00456616" w:rsidRPr="00B06BE0">
        <w:t xml:space="preserve">and that </w:t>
      </w:r>
      <w:r>
        <w:t>IR was required to keep it confidential</w:t>
      </w:r>
      <w:r w:rsidR="003C2C6A" w:rsidRPr="003C2C6A">
        <w:t xml:space="preserve"> </w:t>
      </w:r>
      <w:r w:rsidR="003C2C6A">
        <w:t>under section 18 of the TAA</w:t>
      </w:r>
      <w:r w:rsidR="00456616" w:rsidRPr="00B06BE0">
        <w:t>.</w:t>
      </w:r>
    </w:p>
    <w:p w14:paraId="02D7BE71" w14:textId="45A4774E" w:rsidR="00AC10F6" w:rsidRPr="0086141C" w:rsidRDefault="003C2C6A" w:rsidP="00AC10F6">
      <w:pPr>
        <w:pStyle w:val="BodyText"/>
      </w:pPr>
      <w:r>
        <w:t>In certain circumstances</w:t>
      </w:r>
      <w:r w:rsidR="00C96748">
        <w:rPr>
          <w:rStyle w:val="FootnoteReference"/>
        </w:rPr>
        <w:footnoteReference w:id="4"/>
      </w:r>
      <w:r>
        <w:t>,</w:t>
      </w:r>
      <w:r w:rsidR="00C96748">
        <w:t xml:space="preserve"> disclosure of</w:t>
      </w:r>
      <w:r>
        <w:t xml:space="preserve"> </w:t>
      </w:r>
      <w:r w:rsidR="00A801E7" w:rsidRPr="00A801E7">
        <w:rPr>
          <w:rStyle w:val="Italics"/>
        </w:rPr>
        <w:t>‘</w:t>
      </w:r>
      <w:r w:rsidR="00D02FAF" w:rsidRPr="00A801E7">
        <w:rPr>
          <w:rStyle w:val="Italics"/>
        </w:rPr>
        <w:t>sensitive revenue information</w:t>
      </w:r>
      <w:r w:rsidR="00A801E7" w:rsidRPr="00A801E7">
        <w:rPr>
          <w:rStyle w:val="Italics"/>
        </w:rPr>
        <w:t>’</w:t>
      </w:r>
      <w:r w:rsidR="00D02FAF" w:rsidRPr="00F906BD">
        <w:t xml:space="preserve"> </w:t>
      </w:r>
      <w:r w:rsidR="00C96748">
        <w:t>is permitted</w:t>
      </w:r>
      <w:r w:rsidR="00D02FAF" w:rsidRPr="00F906BD">
        <w:t>.</w:t>
      </w:r>
      <w:r w:rsidR="00982DFF">
        <w:t xml:space="preserve"> The Ombudsman agreed that the only permitted disclosure </w:t>
      </w:r>
      <w:r w:rsidR="00F35E0E">
        <w:t xml:space="preserve">section </w:t>
      </w:r>
      <w:r w:rsidR="00982DFF">
        <w:t>relevant to the request was section 18G</w:t>
      </w:r>
      <w:r w:rsidR="00D02FAF" w:rsidRPr="00F906BD">
        <w:t xml:space="preserve"> </w:t>
      </w:r>
      <w:r w:rsidR="00A801E7">
        <w:t>of the TAA</w:t>
      </w:r>
      <w:r w:rsidR="00F35E0E">
        <w:t xml:space="preserve">. This section </w:t>
      </w:r>
      <w:r w:rsidR="000B31BB">
        <w:t>states that</w:t>
      </w:r>
      <w:r w:rsidR="00D02FAF" w:rsidRPr="00F906BD">
        <w:t xml:space="preserve"> </w:t>
      </w:r>
      <w:r w:rsidR="00D02FAF" w:rsidRPr="00C96748">
        <w:t xml:space="preserve">confidentiality does not apply </w:t>
      </w:r>
      <w:r w:rsidR="0086141C">
        <w:t>where</w:t>
      </w:r>
      <w:r w:rsidR="0086141C" w:rsidRPr="0086141C">
        <w:rPr>
          <w:rStyle w:val="Italics"/>
        </w:rPr>
        <w:t xml:space="preserve"> ‘</w:t>
      </w:r>
      <w:r w:rsidR="00D02FAF" w:rsidRPr="0086141C">
        <w:rPr>
          <w:rStyle w:val="Italics"/>
        </w:rPr>
        <w:t>sensitive revenue information</w:t>
      </w:r>
      <w:r w:rsidR="0086141C" w:rsidRPr="0086141C">
        <w:rPr>
          <w:rStyle w:val="Italics"/>
        </w:rPr>
        <w:t>’</w:t>
      </w:r>
      <w:r w:rsidR="0086141C">
        <w:t xml:space="preserve"> is being disclosed to the</w:t>
      </w:r>
      <w:r w:rsidR="00D02FAF" w:rsidRPr="00C96748">
        <w:t xml:space="preserve"> person</w:t>
      </w:r>
      <w:r w:rsidR="00C96748" w:rsidRPr="00C96748">
        <w:t xml:space="preserve"> the information is about</w:t>
      </w:r>
      <w:r w:rsidR="00BA18E4">
        <w:t xml:space="preserve">. </w:t>
      </w:r>
      <w:r w:rsidR="001A2E46">
        <w:t>T</w:t>
      </w:r>
      <w:r w:rsidR="00AC10F6" w:rsidRPr="00E907D9">
        <w:t>he Commissioner</w:t>
      </w:r>
      <w:r w:rsidR="00F951A3">
        <w:t xml:space="preserve"> </w:t>
      </w:r>
      <w:r w:rsidR="001A2E46">
        <w:t xml:space="preserve">can release such information but only if they are </w:t>
      </w:r>
      <w:r w:rsidR="00AC10F6" w:rsidRPr="00E907D9">
        <w:t xml:space="preserve">satisfied that </w:t>
      </w:r>
      <w:r w:rsidR="0086141C">
        <w:t>the i</w:t>
      </w:r>
      <w:r w:rsidR="00AC10F6" w:rsidRPr="00E907D9">
        <w:t>nformation is readily a</w:t>
      </w:r>
      <w:r w:rsidR="00982DFF">
        <w:t xml:space="preserve">vailable </w:t>
      </w:r>
      <w:r w:rsidR="0086141C">
        <w:t>within IR</w:t>
      </w:r>
      <w:r w:rsidR="00982DFF">
        <w:t xml:space="preserve">, and </w:t>
      </w:r>
      <w:r w:rsidR="0086141C">
        <w:t>that release is</w:t>
      </w:r>
      <w:r w:rsidR="00AC10F6" w:rsidRPr="00E907D9">
        <w:t xml:space="preserve"> rea</w:t>
      </w:r>
      <w:r w:rsidR="0086141C">
        <w:t xml:space="preserve">sonable and </w:t>
      </w:r>
      <w:r w:rsidR="0086141C" w:rsidRPr="0086141C">
        <w:t>practicable</w:t>
      </w:r>
      <w:r w:rsidR="00AC10F6" w:rsidRPr="0086141C">
        <w:t>.</w:t>
      </w:r>
      <w:r w:rsidR="00F951A3">
        <w:rPr>
          <w:rStyle w:val="FootnoteReference"/>
        </w:rPr>
        <w:footnoteReference w:id="5"/>
      </w:r>
    </w:p>
    <w:p w14:paraId="29B1AFF2" w14:textId="7FD07257" w:rsidR="00EC4092" w:rsidRPr="00F928AC" w:rsidRDefault="00EC4092" w:rsidP="00EC4092">
      <w:pPr>
        <w:pStyle w:val="BodyText"/>
      </w:pPr>
      <w:r w:rsidRPr="00F928AC">
        <w:t>IR</w:t>
      </w:r>
      <w:r w:rsidR="00AB4F3C" w:rsidRPr="00F928AC">
        <w:t xml:space="preserve"> considered that the </w:t>
      </w:r>
      <w:r w:rsidR="00D129CF" w:rsidRPr="00F928AC">
        <w:t xml:space="preserve">discretion </w:t>
      </w:r>
      <w:r w:rsidR="00F951A3" w:rsidRPr="00F928AC">
        <w:t>not to release the information at issue to the request</w:t>
      </w:r>
      <w:r w:rsidR="002D565F" w:rsidRPr="00F928AC">
        <w:t>e</w:t>
      </w:r>
      <w:r w:rsidR="00F951A3" w:rsidRPr="00F928AC">
        <w:t xml:space="preserve">r </w:t>
      </w:r>
      <w:r w:rsidR="00D129CF" w:rsidRPr="00F928AC">
        <w:t xml:space="preserve">was appropriately exercised, </w:t>
      </w:r>
      <w:r w:rsidRPr="00F928AC">
        <w:t xml:space="preserve">as the Commissioner </w:t>
      </w:r>
      <w:r w:rsidR="0086141C" w:rsidRPr="00F928AC">
        <w:t>was not satisfied</w:t>
      </w:r>
      <w:r w:rsidRPr="00F928AC">
        <w:t xml:space="preserve"> it </w:t>
      </w:r>
      <w:r w:rsidR="0086141C" w:rsidRPr="00F928AC">
        <w:t>was</w:t>
      </w:r>
      <w:r w:rsidRPr="00F928AC">
        <w:t xml:space="preserve"> reasonable</w:t>
      </w:r>
      <w:r w:rsidR="0086141C" w:rsidRPr="00F928AC">
        <w:t xml:space="preserve">, </w:t>
      </w:r>
      <w:r w:rsidRPr="00F928AC">
        <w:t>practicable, or appropriate, to give anonymous information to the person it concerned. IR</w:t>
      </w:r>
      <w:r w:rsidR="0086141C" w:rsidRPr="00F928AC">
        <w:t xml:space="preserve"> maintained</w:t>
      </w:r>
      <w:r w:rsidRPr="00F928AC">
        <w:t xml:space="preserve"> that such a disclosure would adversely affect </w:t>
      </w:r>
      <w:r w:rsidR="005D75DC" w:rsidRPr="00F928AC">
        <w:t xml:space="preserve">the integrity of the tax system because of the way in which </w:t>
      </w:r>
      <w:r w:rsidR="0086141C" w:rsidRPr="00F928AC">
        <w:t xml:space="preserve">IR uses </w:t>
      </w:r>
      <w:r w:rsidR="005D75DC" w:rsidRPr="00F928AC">
        <w:t xml:space="preserve">confidential </w:t>
      </w:r>
      <w:r w:rsidR="0086141C" w:rsidRPr="00F928AC">
        <w:t xml:space="preserve">and/or anonymous </w:t>
      </w:r>
      <w:r w:rsidR="005D75DC" w:rsidRPr="00F928AC">
        <w:t xml:space="preserve">information </w:t>
      </w:r>
      <w:r w:rsidR="0086141C" w:rsidRPr="00F928AC">
        <w:t xml:space="preserve">that is </w:t>
      </w:r>
      <w:r w:rsidR="005D75DC" w:rsidRPr="00F928AC">
        <w:t>provided to it.</w:t>
      </w:r>
    </w:p>
    <w:p w14:paraId="3076E8CF" w14:textId="20122F29" w:rsidR="0069280D" w:rsidRDefault="00EC4092" w:rsidP="00AD5E32">
      <w:pPr>
        <w:pStyle w:val="BodyText"/>
      </w:pPr>
      <w:r>
        <w:t xml:space="preserve">The Ombudsman accepted that the </w:t>
      </w:r>
      <w:r w:rsidR="00AD5E32" w:rsidRPr="007310DC">
        <w:t xml:space="preserve">Commissioner </w:t>
      </w:r>
      <w:r w:rsidR="001A3623">
        <w:t>was</w:t>
      </w:r>
      <w:r w:rsidR="00AD5E32" w:rsidRPr="007310DC">
        <w:t xml:space="preserve"> legally required to protect the integrity of the tax system </w:t>
      </w:r>
      <w:r>
        <w:t xml:space="preserve">and </w:t>
      </w:r>
      <w:r w:rsidR="00AD5E32" w:rsidRPr="007310DC">
        <w:t>that disclosure of confidential and/or anonymous information would damage the integrity of the tax system, and would prejudice IR</w:t>
      </w:r>
      <w:r w:rsidR="00AD5E32">
        <w:t>’</w:t>
      </w:r>
      <w:r w:rsidR="00AD5E32" w:rsidRPr="007310DC">
        <w:t xml:space="preserve">s ability to maintain tax law. </w:t>
      </w:r>
      <w:r w:rsidR="0069280D">
        <w:t xml:space="preserve">The Ombudsman </w:t>
      </w:r>
      <w:r w:rsidR="00AB4F3C">
        <w:t xml:space="preserve">observed that </w:t>
      </w:r>
      <w:r w:rsidR="00AB4F3C" w:rsidRPr="000F4042">
        <w:t>IR actively assure</w:t>
      </w:r>
      <w:r w:rsidR="001A3623">
        <w:t>d</w:t>
      </w:r>
      <w:r w:rsidR="00AB4F3C" w:rsidRPr="000F4042">
        <w:t xml:space="preserve"> people of confidentiality and anonymity, through numerous references on its website</w:t>
      </w:r>
      <w:r w:rsidR="00F97839">
        <w:t xml:space="preserve">, and anonymous reporting channels </w:t>
      </w:r>
      <w:r w:rsidR="00AB4F3C" w:rsidRPr="000F4042">
        <w:t xml:space="preserve">(telephone, online or by posting a letter). </w:t>
      </w:r>
    </w:p>
    <w:p w14:paraId="4FEBBAB5" w14:textId="083D3DC2" w:rsidR="00F97839" w:rsidRDefault="00F97839" w:rsidP="00AD5E32">
      <w:pPr>
        <w:pStyle w:val="BodyText"/>
      </w:pPr>
      <w:r>
        <w:t>The Ombudsman considered that t</w:t>
      </w:r>
      <w:r w:rsidR="00AB4F3C" w:rsidRPr="000F4042">
        <w:t>hese assurances provide informants with a level of confidence t</w:t>
      </w:r>
      <w:r w:rsidR="00DC2CB6">
        <w:t>hat the information they supply</w:t>
      </w:r>
      <w:r w:rsidR="00AB4F3C" w:rsidRPr="000F4042">
        <w:t xml:space="preserve"> will be</w:t>
      </w:r>
      <w:r w:rsidR="00AB4F3C">
        <w:t xml:space="preserve"> </w:t>
      </w:r>
      <w:r>
        <w:t>protected, and that if that confidence wa</w:t>
      </w:r>
      <w:r w:rsidR="00AB4F3C" w:rsidRPr="007310DC">
        <w:t xml:space="preserve">s lost, people might become more hesitant to provide information to IR </w:t>
      </w:r>
      <w:r w:rsidR="009D5265">
        <w:t xml:space="preserve">in the future </w:t>
      </w:r>
      <w:r w:rsidR="00AB4F3C" w:rsidRPr="007310DC">
        <w:t>(anonymously or not) due to concern that it may later be disclosed.</w:t>
      </w:r>
    </w:p>
    <w:p w14:paraId="7D7EAAD9" w14:textId="4B371EAA" w:rsidR="00CB7BE0" w:rsidRDefault="00F97839" w:rsidP="00E77A82">
      <w:pPr>
        <w:pStyle w:val="BodyText"/>
      </w:pPr>
      <w:r>
        <w:t xml:space="preserve">The Ombudsman also accepted </w:t>
      </w:r>
      <w:r w:rsidR="0069280D">
        <w:t xml:space="preserve">that from this case, </w:t>
      </w:r>
      <w:r>
        <w:t>there could be a</w:t>
      </w:r>
      <w:r w:rsidR="00AB4F3C" w:rsidRPr="007310DC">
        <w:t xml:space="preserve"> possible reduction in the quality and quantity of information supplied to IR</w:t>
      </w:r>
      <w:r>
        <w:t xml:space="preserve">, which </w:t>
      </w:r>
      <w:r w:rsidR="009D5265">
        <w:t xml:space="preserve">would </w:t>
      </w:r>
      <w:r w:rsidR="00AB4F3C" w:rsidRPr="007310DC">
        <w:t xml:space="preserve">adversely impact the </w:t>
      </w:r>
      <w:r w:rsidR="00AB4F3C" w:rsidRPr="00AB4F3C">
        <w:rPr>
          <w:rStyle w:val="Italics"/>
        </w:rPr>
        <w:t>‘public perception’</w:t>
      </w:r>
      <w:r w:rsidR="00AB4F3C" w:rsidRPr="007310DC">
        <w:t xml:space="preserve"> of the integrity of the tax system, and people who are not complying with their </w:t>
      </w:r>
      <w:r w:rsidR="00AB4F3C" w:rsidRPr="00AB4F3C">
        <w:rPr>
          <w:rStyle w:val="Italics"/>
        </w:rPr>
        <w:t>‘responsibilities … to comply with the</w:t>
      </w:r>
      <w:r w:rsidR="00AB4F3C" w:rsidRPr="00F951A3">
        <w:rPr>
          <w:rStyle w:val="Italics"/>
        </w:rPr>
        <w:t xml:space="preserve"> law’</w:t>
      </w:r>
      <w:r w:rsidR="00AB4F3C" w:rsidRPr="007310DC">
        <w:t xml:space="preserve"> could go undetected. </w:t>
      </w:r>
      <w:r w:rsidR="009D5265">
        <w:t xml:space="preserve">As a result, IR’s ability to </w:t>
      </w:r>
      <w:r w:rsidR="00AB4F3C" w:rsidRPr="007310DC">
        <w:t>undertake its statutory functions when it comes to</w:t>
      </w:r>
      <w:r w:rsidR="009D5265">
        <w:t xml:space="preserve"> the collection of tax revenue would be hampered.</w:t>
      </w:r>
    </w:p>
    <w:p w14:paraId="40C5EF07" w14:textId="69E362D6" w:rsidR="00AC10F6" w:rsidRDefault="00EC4092" w:rsidP="00E77A82">
      <w:pPr>
        <w:pStyle w:val="BodyText"/>
      </w:pPr>
      <w:r>
        <w:t>The Ombudsman noted that w</w:t>
      </w:r>
      <w:r w:rsidR="00AD5E32" w:rsidRPr="007310DC">
        <w:t xml:space="preserve">hile IR </w:t>
      </w:r>
      <w:r>
        <w:t xml:space="preserve">did </w:t>
      </w:r>
      <w:r w:rsidR="00AD5E32" w:rsidRPr="007310DC">
        <w:t>not disclose the exact information to</w:t>
      </w:r>
      <w:r>
        <w:t xml:space="preserve"> the request</w:t>
      </w:r>
      <w:r w:rsidR="0069280D">
        <w:t>e</w:t>
      </w:r>
      <w:r>
        <w:t>r, it did provide a summary</w:t>
      </w:r>
      <w:r w:rsidR="00AB4F3C">
        <w:t>, which he ob</w:t>
      </w:r>
      <w:r>
        <w:t>served was a</w:t>
      </w:r>
      <w:r w:rsidR="00AD5E32" w:rsidRPr="007310DC">
        <w:t xml:space="preserve"> suitable bal</w:t>
      </w:r>
      <w:r>
        <w:t>ance between giving the request</w:t>
      </w:r>
      <w:r w:rsidR="0069280D">
        <w:t>e</w:t>
      </w:r>
      <w:r>
        <w:t>r</w:t>
      </w:r>
      <w:r w:rsidR="00AD5E32" w:rsidRPr="007310DC">
        <w:t xml:space="preserve"> information about </w:t>
      </w:r>
      <w:r>
        <w:t>themselves</w:t>
      </w:r>
      <w:r w:rsidR="00AD5E32" w:rsidRPr="007310DC">
        <w:t>, and protecting the integrity of the tax system.</w:t>
      </w:r>
    </w:p>
    <w:p w14:paraId="046FA48E" w14:textId="77777777" w:rsidR="00E77A82" w:rsidRDefault="00E77A82" w:rsidP="00E77A82">
      <w:pPr>
        <w:pStyle w:val="Heading1"/>
      </w:pPr>
      <w:r>
        <w:t>Outcome</w:t>
      </w:r>
    </w:p>
    <w:p w14:paraId="4A089A3A" w14:textId="535394DE" w:rsidR="00E77A82" w:rsidRDefault="00982DFF" w:rsidP="00E77A82">
      <w:pPr>
        <w:pStyle w:val="BodyText"/>
      </w:pPr>
      <w:r>
        <w:t>The Ombudsman formed the opinion that</w:t>
      </w:r>
      <w:r w:rsidR="0069280D">
        <w:t xml:space="preserve"> in this case,</w:t>
      </w:r>
      <w:r>
        <w:t xml:space="preserve"> IR did not act unreasonably in exercising its discretion under the TAA to refuse the request for information.</w:t>
      </w:r>
    </w:p>
    <w:p w14:paraId="47117737" w14:textId="2001E8BC" w:rsidR="003160E5" w:rsidRPr="003160E5" w:rsidRDefault="003160E5" w:rsidP="003160E5">
      <w:pPr>
        <w:pStyle w:val="BodyText"/>
        <w:rPr>
          <w:rStyle w:val="Italics"/>
        </w:rPr>
      </w:pPr>
      <w:r w:rsidRPr="003160E5">
        <w:rPr>
          <w:rStyle w:val="Italics"/>
        </w:rPr>
        <w:t>This case note is published under the authority of the</w:t>
      </w:r>
      <w:r w:rsidR="00C74F95">
        <w:rPr>
          <w:rStyle w:val="Italics"/>
        </w:rPr>
        <w:t xml:space="preserve"> </w:t>
      </w:r>
      <w:hyperlink r:id="rId8" w:history="1">
        <w:r w:rsidR="00C74F9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2BEA8" w14:textId="77777777" w:rsidR="001A04AA" w:rsidRPr="00D45126" w:rsidRDefault="001A04AA" w:rsidP="00554FCD">
      <w:pPr>
        <w:spacing w:after="0" w:line="240" w:lineRule="auto"/>
        <w:rPr>
          <w:color w:val="4D4D4D"/>
        </w:rPr>
      </w:pPr>
      <w:r w:rsidRPr="00D45126">
        <w:rPr>
          <w:color w:val="4D4D4D"/>
        </w:rPr>
        <w:separator/>
      </w:r>
    </w:p>
  </w:endnote>
  <w:endnote w:type="continuationSeparator" w:id="0">
    <w:p w14:paraId="2DA4C73E" w14:textId="77777777" w:rsidR="001A04AA" w:rsidRPr="00D45126" w:rsidRDefault="001A04AA" w:rsidP="00554FCD">
      <w:pPr>
        <w:spacing w:after="0" w:line="240" w:lineRule="auto"/>
        <w:rPr>
          <w:color w:val="4D4D4D"/>
        </w:rPr>
      </w:pPr>
      <w:r w:rsidRPr="00D45126">
        <w:rPr>
          <w:color w:val="4D4D4D"/>
        </w:rPr>
        <w:continuationSeparator/>
      </w:r>
    </w:p>
  </w:endnote>
  <w:endnote w:type="continuationNotice" w:id="1">
    <w:p w14:paraId="2FD4EAF6" w14:textId="77777777" w:rsidR="001A04AA" w:rsidRDefault="001A0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E54B" w14:textId="77777777" w:rsidR="00EE693A" w:rsidRDefault="00EE6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2979" w14:textId="77777777" w:rsidR="008A593E" w:rsidRPr="0059155D" w:rsidRDefault="008A593E" w:rsidP="00B81F45">
    <w:pPr>
      <w:pStyle w:val="Footerline"/>
    </w:pPr>
  </w:p>
  <w:p w14:paraId="46C8EB96" w14:textId="77777777" w:rsidR="008A593E" w:rsidRPr="0059155D" w:rsidRDefault="008A593E" w:rsidP="00B81F45">
    <w:pPr>
      <w:pStyle w:val="Footerline"/>
    </w:pPr>
  </w:p>
  <w:p w14:paraId="2502B129" w14:textId="527B39F4" w:rsidR="008A593E" w:rsidRPr="005533D8" w:rsidRDefault="00BA18E4" w:rsidP="00B81F45">
    <w:pPr>
      <w:pStyle w:val="Footer"/>
    </w:pPr>
    <w:fldSimple w:instr=" DOCVARIABLE  dvShortText ">
      <w:r w:rsidR="00451F75">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451F75">
      <w:rPr>
        <w:rStyle w:val="PageNumber"/>
        <w:noProof/>
      </w:rPr>
      <w:t>3</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8464" w14:textId="77777777" w:rsidR="008A593E" w:rsidRPr="0059155D" w:rsidRDefault="008A593E" w:rsidP="00AA3322">
    <w:pPr>
      <w:pStyle w:val="Footerline"/>
    </w:pPr>
  </w:p>
  <w:p w14:paraId="61BED268" w14:textId="77777777" w:rsidR="008A593E" w:rsidRPr="0059155D" w:rsidRDefault="008A593E" w:rsidP="00AA3322">
    <w:pPr>
      <w:pStyle w:val="Footerline"/>
    </w:pPr>
  </w:p>
  <w:p w14:paraId="709AD710" w14:textId="56E530CE" w:rsidR="008A593E" w:rsidRPr="005533D8" w:rsidRDefault="00BA18E4" w:rsidP="00AA3322">
    <w:pPr>
      <w:pStyle w:val="Footer"/>
    </w:pPr>
    <w:fldSimple w:instr=" DOCVARIABLE  dvShortText ">
      <w:r w:rsidR="00451F75">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1A04AA">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A46C8" w14:textId="77777777" w:rsidR="001A04AA" w:rsidRPr="00D45126" w:rsidRDefault="001A04AA" w:rsidP="00257DA0">
      <w:pPr>
        <w:spacing w:after="0" w:line="240" w:lineRule="auto"/>
        <w:rPr>
          <w:color w:val="4D4D4D"/>
        </w:rPr>
      </w:pPr>
      <w:r w:rsidRPr="00D45126">
        <w:rPr>
          <w:color w:val="4D4D4D"/>
        </w:rPr>
        <w:separator/>
      </w:r>
    </w:p>
  </w:footnote>
  <w:footnote w:type="continuationSeparator" w:id="0">
    <w:p w14:paraId="043650A6" w14:textId="77777777" w:rsidR="001A04AA" w:rsidRPr="00C14083" w:rsidRDefault="001A04AA" w:rsidP="00554FCD">
      <w:pPr>
        <w:spacing w:after="0" w:line="240" w:lineRule="auto"/>
        <w:rPr>
          <w:color w:val="4D4D4D"/>
        </w:rPr>
      </w:pPr>
      <w:r w:rsidRPr="00C14083">
        <w:rPr>
          <w:color w:val="4D4D4D"/>
        </w:rPr>
        <w:continuationSeparator/>
      </w:r>
    </w:p>
  </w:footnote>
  <w:footnote w:type="continuationNotice" w:id="1">
    <w:p w14:paraId="20B19FDA" w14:textId="77777777" w:rsidR="001A04AA" w:rsidRDefault="001A04AA">
      <w:pPr>
        <w:spacing w:after="0" w:line="240" w:lineRule="auto"/>
      </w:pPr>
    </w:p>
  </w:footnote>
  <w:footnote w:id="2">
    <w:p w14:paraId="666BE93A" w14:textId="4882DC6B" w:rsidR="00F951A3" w:rsidRDefault="00F951A3">
      <w:pPr>
        <w:pStyle w:val="FootnoteText"/>
      </w:pPr>
      <w:r>
        <w:rPr>
          <w:rStyle w:val="FootnoteReference"/>
        </w:rPr>
        <w:footnoteRef/>
      </w:r>
      <w:r>
        <w:t xml:space="preserve"> </w:t>
      </w:r>
      <w:r>
        <w:tab/>
      </w:r>
      <w:r w:rsidR="000850EF">
        <w:t>See s</w:t>
      </w:r>
      <w:r>
        <w:t>ection 18 of the TAA</w:t>
      </w:r>
      <w:r w:rsidR="000850EF">
        <w:t>.</w:t>
      </w:r>
    </w:p>
  </w:footnote>
  <w:footnote w:id="3">
    <w:p w14:paraId="5C8C01AD" w14:textId="5F4ED18E" w:rsidR="005D75DC" w:rsidRDefault="005D75DC">
      <w:pPr>
        <w:pStyle w:val="FootnoteText"/>
      </w:pPr>
      <w:r>
        <w:rPr>
          <w:rStyle w:val="FootnoteReference"/>
        </w:rPr>
        <w:footnoteRef/>
      </w:r>
      <w:r>
        <w:t xml:space="preserve"> </w:t>
      </w:r>
      <w:r>
        <w:tab/>
      </w:r>
      <w:r w:rsidR="000850EF">
        <w:t>See s</w:t>
      </w:r>
      <w:r>
        <w:t>ection 16C(3) of the TAA</w:t>
      </w:r>
      <w:r w:rsidR="000850EF">
        <w:t>.</w:t>
      </w:r>
    </w:p>
  </w:footnote>
  <w:footnote w:id="4">
    <w:p w14:paraId="51F01E65" w14:textId="6DCA28DF" w:rsidR="00C96748" w:rsidRDefault="00C96748">
      <w:pPr>
        <w:pStyle w:val="FootnoteText"/>
      </w:pPr>
      <w:r>
        <w:rPr>
          <w:rStyle w:val="FootnoteReference"/>
        </w:rPr>
        <w:footnoteRef/>
      </w:r>
      <w:r>
        <w:t xml:space="preserve"> </w:t>
      </w:r>
      <w:r>
        <w:tab/>
      </w:r>
      <w:r w:rsidR="000850EF">
        <w:t>See s</w:t>
      </w:r>
      <w:r>
        <w:t>ections 18C to 18J of the TAA</w:t>
      </w:r>
      <w:r w:rsidR="000850EF">
        <w:t>.</w:t>
      </w:r>
    </w:p>
  </w:footnote>
  <w:footnote w:id="5">
    <w:p w14:paraId="50EDA5CD" w14:textId="7F8EEF9D" w:rsidR="00F951A3" w:rsidRDefault="00F951A3" w:rsidP="00F951A3">
      <w:pPr>
        <w:pStyle w:val="FootnoteText"/>
      </w:pPr>
      <w:r>
        <w:rPr>
          <w:rStyle w:val="FootnoteReference"/>
        </w:rPr>
        <w:footnoteRef/>
      </w:r>
      <w:r>
        <w:t xml:space="preserve"> </w:t>
      </w:r>
      <w:r>
        <w:tab/>
      </w:r>
      <w:r w:rsidR="000850EF">
        <w:t>See c</w:t>
      </w:r>
      <w:r>
        <w:t xml:space="preserve">lause 15 of </w:t>
      </w:r>
      <w:r w:rsidRPr="00F906BD">
        <w:t>P</w:t>
      </w:r>
      <w:r>
        <w:t>art B of Schedule 7 of the TAA</w:t>
      </w:r>
      <w:r w:rsidR="000850E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DFC3" w14:textId="77777777" w:rsidR="00EE693A" w:rsidRDefault="00EE6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19B6C" w14:textId="77777777"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14:paraId="24842E7D" w14:textId="77777777"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1CC8" w14:textId="77777777" w:rsidR="008A593E" w:rsidRDefault="008A593E">
    <w:pPr>
      <w:pStyle w:val="Header"/>
    </w:pPr>
    <w:r w:rsidRPr="00F417FD">
      <w:rPr>
        <w:noProof/>
        <w:lang w:eastAsia="en-NZ"/>
      </w:rPr>
      <w:drawing>
        <wp:anchor distT="0" distB="0" distL="114300" distR="114300" simplePos="0" relativeHeight="251659264" behindDoc="0" locked="0" layoutInCell="1" allowOverlap="1" wp14:anchorId="6C6E1356" wp14:editId="55E8BC48">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
    <w:docVar w:name="dvShortTextFrm" w:val="Case note"/>
    <w:docVar w:name="IsfirstTb" w:val="False"/>
    <w:docVar w:name="IsInTable" w:val="False"/>
    <w:docVar w:name="OOTOTemplate" w:val="OOTO General\Case note.dotm"/>
  </w:docVars>
  <w:rsids>
    <w:rsidRoot w:val="00727207"/>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850EF"/>
    <w:rsid w:val="000929F9"/>
    <w:rsid w:val="00093C9D"/>
    <w:rsid w:val="00094D1D"/>
    <w:rsid w:val="0009569A"/>
    <w:rsid w:val="000965D2"/>
    <w:rsid w:val="00097211"/>
    <w:rsid w:val="00097E3A"/>
    <w:rsid w:val="000A084B"/>
    <w:rsid w:val="000A18DA"/>
    <w:rsid w:val="000A32DF"/>
    <w:rsid w:val="000A39DB"/>
    <w:rsid w:val="000A4639"/>
    <w:rsid w:val="000A56A9"/>
    <w:rsid w:val="000B31BB"/>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4EB2"/>
    <w:rsid w:val="000F5D79"/>
    <w:rsid w:val="00100392"/>
    <w:rsid w:val="00106D7B"/>
    <w:rsid w:val="001110B8"/>
    <w:rsid w:val="0011146D"/>
    <w:rsid w:val="00114C6B"/>
    <w:rsid w:val="00114C7F"/>
    <w:rsid w:val="00123968"/>
    <w:rsid w:val="00134987"/>
    <w:rsid w:val="001360D2"/>
    <w:rsid w:val="00140996"/>
    <w:rsid w:val="00140DAC"/>
    <w:rsid w:val="00144C1B"/>
    <w:rsid w:val="00150AD4"/>
    <w:rsid w:val="00151F5B"/>
    <w:rsid w:val="00157E61"/>
    <w:rsid w:val="001602AB"/>
    <w:rsid w:val="00160A64"/>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04AA"/>
    <w:rsid w:val="001A265F"/>
    <w:rsid w:val="001A2E46"/>
    <w:rsid w:val="001A3623"/>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6902"/>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565F"/>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675E"/>
    <w:rsid w:val="00307592"/>
    <w:rsid w:val="00313ABD"/>
    <w:rsid w:val="003160E5"/>
    <w:rsid w:val="00316CF6"/>
    <w:rsid w:val="00317D8B"/>
    <w:rsid w:val="00320E2B"/>
    <w:rsid w:val="00321801"/>
    <w:rsid w:val="00321D36"/>
    <w:rsid w:val="003374ED"/>
    <w:rsid w:val="00342CEE"/>
    <w:rsid w:val="003445E1"/>
    <w:rsid w:val="003516B6"/>
    <w:rsid w:val="00352830"/>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C2C6A"/>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4DBC"/>
    <w:rsid w:val="004302DE"/>
    <w:rsid w:val="004313B9"/>
    <w:rsid w:val="00431860"/>
    <w:rsid w:val="00433038"/>
    <w:rsid w:val="00433F89"/>
    <w:rsid w:val="00437706"/>
    <w:rsid w:val="00442610"/>
    <w:rsid w:val="004426B5"/>
    <w:rsid w:val="00444754"/>
    <w:rsid w:val="00451F75"/>
    <w:rsid w:val="00452CEF"/>
    <w:rsid w:val="00456616"/>
    <w:rsid w:val="00462213"/>
    <w:rsid w:val="00464DEF"/>
    <w:rsid w:val="00465438"/>
    <w:rsid w:val="00467645"/>
    <w:rsid w:val="004752AF"/>
    <w:rsid w:val="00476A16"/>
    <w:rsid w:val="00483BA2"/>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3DD2"/>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179F"/>
    <w:rsid w:val="00512CAE"/>
    <w:rsid w:val="00512D27"/>
    <w:rsid w:val="00515585"/>
    <w:rsid w:val="00515C43"/>
    <w:rsid w:val="00517AD4"/>
    <w:rsid w:val="00520431"/>
    <w:rsid w:val="0052262C"/>
    <w:rsid w:val="0053285B"/>
    <w:rsid w:val="0053394E"/>
    <w:rsid w:val="005346B8"/>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053D"/>
    <w:rsid w:val="005D525E"/>
    <w:rsid w:val="005D75DC"/>
    <w:rsid w:val="005E1DEC"/>
    <w:rsid w:val="005E1F34"/>
    <w:rsid w:val="005E2932"/>
    <w:rsid w:val="005E4F3A"/>
    <w:rsid w:val="005E50C7"/>
    <w:rsid w:val="005F1945"/>
    <w:rsid w:val="005F3344"/>
    <w:rsid w:val="005F3639"/>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5B74"/>
    <w:rsid w:val="00687159"/>
    <w:rsid w:val="00690CA6"/>
    <w:rsid w:val="00691335"/>
    <w:rsid w:val="006920D5"/>
    <w:rsid w:val="0069280D"/>
    <w:rsid w:val="006954EA"/>
    <w:rsid w:val="00697F10"/>
    <w:rsid w:val="006A05F7"/>
    <w:rsid w:val="006A12AA"/>
    <w:rsid w:val="006A5545"/>
    <w:rsid w:val="006A5CB2"/>
    <w:rsid w:val="006B19F5"/>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27207"/>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659E"/>
    <w:rsid w:val="007A0E41"/>
    <w:rsid w:val="007A395C"/>
    <w:rsid w:val="007A6586"/>
    <w:rsid w:val="007A6A53"/>
    <w:rsid w:val="007A6F0A"/>
    <w:rsid w:val="007A7020"/>
    <w:rsid w:val="007A74A0"/>
    <w:rsid w:val="007B4F3B"/>
    <w:rsid w:val="007B755F"/>
    <w:rsid w:val="007C3BDA"/>
    <w:rsid w:val="007C5CD4"/>
    <w:rsid w:val="007C679B"/>
    <w:rsid w:val="007C7995"/>
    <w:rsid w:val="007D3C1B"/>
    <w:rsid w:val="007D4081"/>
    <w:rsid w:val="007D5753"/>
    <w:rsid w:val="007D6D0D"/>
    <w:rsid w:val="007D76FD"/>
    <w:rsid w:val="007E01D2"/>
    <w:rsid w:val="007E03E4"/>
    <w:rsid w:val="007E1397"/>
    <w:rsid w:val="007E58A0"/>
    <w:rsid w:val="007F760D"/>
    <w:rsid w:val="00800219"/>
    <w:rsid w:val="0080047F"/>
    <w:rsid w:val="00801170"/>
    <w:rsid w:val="0080145D"/>
    <w:rsid w:val="00802414"/>
    <w:rsid w:val="00803CA9"/>
    <w:rsid w:val="00812748"/>
    <w:rsid w:val="00813A70"/>
    <w:rsid w:val="00820C9C"/>
    <w:rsid w:val="008242EE"/>
    <w:rsid w:val="00825420"/>
    <w:rsid w:val="00825A20"/>
    <w:rsid w:val="00825D06"/>
    <w:rsid w:val="00830680"/>
    <w:rsid w:val="00831A4E"/>
    <w:rsid w:val="00831EBB"/>
    <w:rsid w:val="00833247"/>
    <w:rsid w:val="00837EA6"/>
    <w:rsid w:val="008429D3"/>
    <w:rsid w:val="00844F64"/>
    <w:rsid w:val="00846794"/>
    <w:rsid w:val="00846D79"/>
    <w:rsid w:val="00860B01"/>
    <w:rsid w:val="0086141C"/>
    <w:rsid w:val="00861C91"/>
    <w:rsid w:val="00872924"/>
    <w:rsid w:val="008841B5"/>
    <w:rsid w:val="00884716"/>
    <w:rsid w:val="00887AA8"/>
    <w:rsid w:val="0089080C"/>
    <w:rsid w:val="00891BCB"/>
    <w:rsid w:val="00892DF8"/>
    <w:rsid w:val="00893A27"/>
    <w:rsid w:val="0089610D"/>
    <w:rsid w:val="00896D19"/>
    <w:rsid w:val="008A593E"/>
    <w:rsid w:val="008B0D20"/>
    <w:rsid w:val="008B0F15"/>
    <w:rsid w:val="008B1687"/>
    <w:rsid w:val="008B1A1F"/>
    <w:rsid w:val="008B3D95"/>
    <w:rsid w:val="008B3DAA"/>
    <w:rsid w:val="008B4AAA"/>
    <w:rsid w:val="008B647B"/>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82DFF"/>
    <w:rsid w:val="0099018C"/>
    <w:rsid w:val="009909DF"/>
    <w:rsid w:val="0099196C"/>
    <w:rsid w:val="0099197D"/>
    <w:rsid w:val="00991F34"/>
    <w:rsid w:val="00994CBB"/>
    <w:rsid w:val="009954CB"/>
    <w:rsid w:val="00995755"/>
    <w:rsid w:val="009A66D4"/>
    <w:rsid w:val="009B0599"/>
    <w:rsid w:val="009B47B9"/>
    <w:rsid w:val="009C1083"/>
    <w:rsid w:val="009C1890"/>
    <w:rsid w:val="009C3499"/>
    <w:rsid w:val="009C375B"/>
    <w:rsid w:val="009C4723"/>
    <w:rsid w:val="009D5265"/>
    <w:rsid w:val="009D6259"/>
    <w:rsid w:val="009E2446"/>
    <w:rsid w:val="009E3199"/>
    <w:rsid w:val="009E5678"/>
    <w:rsid w:val="009E78E3"/>
    <w:rsid w:val="009F0996"/>
    <w:rsid w:val="009F261A"/>
    <w:rsid w:val="009F4E72"/>
    <w:rsid w:val="009F5C3C"/>
    <w:rsid w:val="009F68AD"/>
    <w:rsid w:val="00A004F0"/>
    <w:rsid w:val="00A0089C"/>
    <w:rsid w:val="00A01B68"/>
    <w:rsid w:val="00A07CD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2AF9"/>
    <w:rsid w:val="00A6506D"/>
    <w:rsid w:val="00A6655D"/>
    <w:rsid w:val="00A66569"/>
    <w:rsid w:val="00A7093F"/>
    <w:rsid w:val="00A76E5D"/>
    <w:rsid w:val="00A800F7"/>
    <w:rsid w:val="00A801E7"/>
    <w:rsid w:val="00A80669"/>
    <w:rsid w:val="00A818A6"/>
    <w:rsid w:val="00A83F11"/>
    <w:rsid w:val="00A86091"/>
    <w:rsid w:val="00A86138"/>
    <w:rsid w:val="00A86F4E"/>
    <w:rsid w:val="00A92148"/>
    <w:rsid w:val="00A92165"/>
    <w:rsid w:val="00AA188D"/>
    <w:rsid w:val="00AA3322"/>
    <w:rsid w:val="00AA4FC3"/>
    <w:rsid w:val="00AA6D42"/>
    <w:rsid w:val="00AA7176"/>
    <w:rsid w:val="00AA73B6"/>
    <w:rsid w:val="00AB2618"/>
    <w:rsid w:val="00AB3608"/>
    <w:rsid w:val="00AB4F3C"/>
    <w:rsid w:val="00AB5978"/>
    <w:rsid w:val="00AB6894"/>
    <w:rsid w:val="00AC0259"/>
    <w:rsid w:val="00AC10F6"/>
    <w:rsid w:val="00AC5726"/>
    <w:rsid w:val="00AC7F7D"/>
    <w:rsid w:val="00AD230F"/>
    <w:rsid w:val="00AD27AE"/>
    <w:rsid w:val="00AD2CF5"/>
    <w:rsid w:val="00AD5E32"/>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6803"/>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8E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23F7"/>
    <w:rsid w:val="00BE3150"/>
    <w:rsid w:val="00BE35FD"/>
    <w:rsid w:val="00BE6576"/>
    <w:rsid w:val="00BE7B8B"/>
    <w:rsid w:val="00BE7E64"/>
    <w:rsid w:val="00BF11EB"/>
    <w:rsid w:val="00BF1B2F"/>
    <w:rsid w:val="00BF2754"/>
    <w:rsid w:val="00BF48E6"/>
    <w:rsid w:val="00BF6332"/>
    <w:rsid w:val="00C01F2E"/>
    <w:rsid w:val="00C02437"/>
    <w:rsid w:val="00C04981"/>
    <w:rsid w:val="00C12935"/>
    <w:rsid w:val="00C14083"/>
    <w:rsid w:val="00C1755D"/>
    <w:rsid w:val="00C217A8"/>
    <w:rsid w:val="00C21D0B"/>
    <w:rsid w:val="00C21F16"/>
    <w:rsid w:val="00C25130"/>
    <w:rsid w:val="00C25347"/>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4F95"/>
    <w:rsid w:val="00C75066"/>
    <w:rsid w:val="00C7744C"/>
    <w:rsid w:val="00C80876"/>
    <w:rsid w:val="00C81873"/>
    <w:rsid w:val="00C8417E"/>
    <w:rsid w:val="00C87D78"/>
    <w:rsid w:val="00C90823"/>
    <w:rsid w:val="00C91EA8"/>
    <w:rsid w:val="00C96748"/>
    <w:rsid w:val="00CA4D71"/>
    <w:rsid w:val="00CA6C0F"/>
    <w:rsid w:val="00CB40CA"/>
    <w:rsid w:val="00CB7BE0"/>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1A59"/>
    <w:rsid w:val="00D02730"/>
    <w:rsid w:val="00D02FAF"/>
    <w:rsid w:val="00D034B7"/>
    <w:rsid w:val="00D044F7"/>
    <w:rsid w:val="00D045CA"/>
    <w:rsid w:val="00D05C0E"/>
    <w:rsid w:val="00D11117"/>
    <w:rsid w:val="00D129CF"/>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263B"/>
    <w:rsid w:val="00D933EF"/>
    <w:rsid w:val="00D94920"/>
    <w:rsid w:val="00D96EE7"/>
    <w:rsid w:val="00DA1B9D"/>
    <w:rsid w:val="00DA45D8"/>
    <w:rsid w:val="00DA57CD"/>
    <w:rsid w:val="00DB191E"/>
    <w:rsid w:val="00DB3266"/>
    <w:rsid w:val="00DB4ABD"/>
    <w:rsid w:val="00DB4B68"/>
    <w:rsid w:val="00DB615E"/>
    <w:rsid w:val="00DC0572"/>
    <w:rsid w:val="00DC2CB6"/>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5B0"/>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4092"/>
    <w:rsid w:val="00EC622D"/>
    <w:rsid w:val="00EC70DD"/>
    <w:rsid w:val="00ED0181"/>
    <w:rsid w:val="00ED06D1"/>
    <w:rsid w:val="00EE15A1"/>
    <w:rsid w:val="00EE5FF3"/>
    <w:rsid w:val="00EE693A"/>
    <w:rsid w:val="00EF0BE7"/>
    <w:rsid w:val="00EF13A7"/>
    <w:rsid w:val="00EF1DF3"/>
    <w:rsid w:val="00EF446F"/>
    <w:rsid w:val="00EF4786"/>
    <w:rsid w:val="00EF4BC0"/>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5E0E"/>
    <w:rsid w:val="00F36627"/>
    <w:rsid w:val="00F417FD"/>
    <w:rsid w:val="00F42B3E"/>
    <w:rsid w:val="00F4408A"/>
    <w:rsid w:val="00F45C25"/>
    <w:rsid w:val="00F4637E"/>
    <w:rsid w:val="00F46FF8"/>
    <w:rsid w:val="00F47A93"/>
    <w:rsid w:val="00F51502"/>
    <w:rsid w:val="00F55965"/>
    <w:rsid w:val="00F56FAE"/>
    <w:rsid w:val="00F57DBF"/>
    <w:rsid w:val="00F63084"/>
    <w:rsid w:val="00F65C14"/>
    <w:rsid w:val="00F720D6"/>
    <w:rsid w:val="00F75E07"/>
    <w:rsid w:val="00F77137"/>
    <w:rsid w:val="00F777C7"/>
    <w:rsid w:val="00F8132B"/>
    <w:rsid w:val="00F90E72"/>
    <w:rsid w:val="00F922BB"/>
    <w:rsid w:val="00F928AC"/>
    <w:rsid w:val="00F93B23"/>
    <w:rsid w:val="00F951A3"/>
    <w:rsid w:val="00F95E8E"/>
    <w:rsid w:val="00F96393"/>
    <w:rsid w:val="00F96FEC"/>
    <w:rsid w:val="00F97839"/>
    <w:rsid w:val="00FA206A"/>
    <w:rsid w:val="00FA3979"/>
    <w:rsid w:val="00FA48B0"/>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2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A4C9-0CF6-4358-A878-603288E4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Background</vt:lpstr>
      <vt:lpstr>Investigation</vt:lpstr>
      <vt:lpstr>Outcome</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2022-12-06T21:21:00Z</dcterms:created>
  <dcterms:modified xsi:type="dcterms:W3CDTF">2022-12-06T21:22:00Z</dcterms:modified>
  <cp:contentStatus/>
</cp:coreProperties>
</file>