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3A0DB3" w:rsidTr="006A1F4C">
        <w:trPr>
          <w:trHeight w:val="2268"/>
        </w:trPr>
        <w:tc>
          <w:tcPr>
            <w:tcW w:w="9299" w:type="dxa"/>
            <w:tcBorders>
              <w:top w:val="nil"/>
              <w:left w:val="nil"/>
              <w:bottom w:val="nil"/>
              <w:right w:val="nil"/>
            </w:tcBorders>
            <w:vAlign w:val="bottom"/>
            <w:hideMark/>
          </w:tcPr>
          <w:p w:rsidR="003A0DB3" w:rsidRDefault="003A0DB3" w:rsidP="006A1F4C">
            <w:pPr>
              <w:pStyle w:val="Title"/>
              <w:spacing w:line="240" w:lineRule="atLeast"/>
            </w:pPr>
            <w:bookmarkStart w:id="0" w:name="ToBeCopied"/>
            <w:bookmarkStart w:id="1" w:name="PasteHere"/>
            <w:bookmarkEnd w:id="0"/>
            <w:r>
              <w:t xml:space="preserve">Chief Ombudsman’s opinion </w:t>
            </w:r>
            <w:bookmarkStart w:id="2" w:name="_GoBack"/>
            <w:bookmarkEnd w:id="2"/>
            <w:r>
              <w:t>under the Ombudsmen Act</w:t>
            </w:r>
          </w:p>
        </w:tc>
      </w:tr>
      <w:tr w:rsidR="003A0DB3" w:rsidTr="006A1F4C">
        <w:trPr>
          <w:trHeight w:val="340"/>
        </w:trPr>
        <w:tc>
          <w:tcPr>
            <w:tcW w:w="9299" w:type="dxa"/>
            <w:tcBorders>
              <w:top w:val="nil"/>
              <w:left w:val="nil"/>
              <w:bottom w:val="nil"/>
              <w:right w:val="nil"/>
            </w:tcBorders>
            <w:vAlign w:val="bottom"/>
          </w:tcPr>
          <w:p w:rsidR="003A0DB3" w:rsidRDefault="003A0DB3" w:rsidP="006A1F4C"/>
        </w:tc>
      </w:tr>
      <w:tr w:rsidR="003A0DB3" w:rsidTr="006A1F4C">
        <w:tc>
          <w:tcPr>
            <w:tcW w:w="9299" w:type="dxa"/>
            <w:tcBorders>
              <w:top w:val="nil"/>
              <w:left w:val="nil"/>
              <w:bottom w:val="single" w:sz="2" w:space="0" w:color="4D4D4D"/>
              <w:right w:val="nil"/>
            </w:tcBorders>
            <w:tcMar>
              <w:top w:w="28" w:type="dxa"/>
              <w:left w:w="0" w:type="dxa"/>
              <w:bottom w:w="454" w:type="dxa"/>
              <w:right w:w="0" w:type="dxa"/>
            </w:tcMar>
            <w:hideMark/>
          </w:tcPr>
          <w:p w:rsidR="003A0DB3" w:rsidRDefault="003A0DB3" w:rsidP="006A1F4C">
            <w:pPr>
              <w:pStyle w:val="Heading1-Subnonboldtext"/>
            </w:pPr>
            <w:r>
              <w:rPr>
                <w:rStyle w:val="Heading1-Sub"/>
              </w:rPr>
              <w:t>Legislation</w:t>
            </w:r>
            <w:r>
              <w:tab/>
              <w:t xml:space="preserve">Ombudsmen Act 1975 ss 13(1), 18(3), 22(1-3); Oranga Tamariki Act 1989 ss 4(A)(1), </w:t>
            </w:r>
            <w:r w:rsidRPr="00F959A9">
              <w:t>5(1)(a), 5(1)(b)(i), 5(1)(b)(iii), 5(1)(b)(vi), 5(1)(b)(vii), 5(1)(b)(viii)</w:t>
            </w:r>
            <w:r>
              <w:t>, 11, 15, 17(1)(a)</w:t>
            </w:r>
          </w:p>
          <w:p w:rsidR="003A0DB3" w:rsidRDefault="003A0DB3" w:rsidP="006A1F4C">
            <w:pPr>
              <w:pStyle w:val="Heading1-Subnonboldtext"/>
            </w:pPr>
            <w:r>
              <w:rPr>
                <w:rStyle w:val="Heading1-Sub"/>
              </w:rPr>
              <w:t>Agency</w:t>
            </w:r>
            <w:r>
              <w:tab/>
              <w:t xml:space="preserve">Oranga Tamariki Ministry for Children </w:t>
            </w:r>
          </w:p>
          <w:p w:rsidR="003A0DB3" w:rsidRDefault="003A0DB3" w:rsidP="006A1F4C">
            <w:pPr>
              <w:pStyle w:val="Heading1-Subnonboldtext"/>
            </w:pPr>
            <w:r>
              <w:rPr>
                <w:rStyle w:val="Heading1-Sub"/>
              </w:rPr>
              <w:t>Ombudsman</w:t>
            </w:r>
            <w:r>
              <w:tab/>
            </w:r>
            <w:r w:rsidRPr="00EA6B62">
              <w:t>Peter Boshier</w:t>
            </w:r>
          </w:p>
          <w:p w:rsidR="003A0DB3" w:rsidRDefault="003A0DB3" w:rsidP="006A1F4C">
            <w:pPr>
              <w:pStyle w:val="Heading1-Subnonboldtext"/>
            </w:pPr>
            <w:r>
              <w:rPr>
                <w:rStyle w:val="Heading1-Sub"/>
              </w:rPr>
              <w:t>Case number(s)</w:t>
            </w:r>
            <w:r>
              <w:tab/>
              <w:t>566935</w:t>
            </w:r>
          </w:p>
          <w:p w:rsidR="003A0DB3" w:rsidRDefault="003A0DB3" w:rsidP="006A1F4C">
            <w:pPr>
              <w:pStyle w:val="Heading1-Subnonboldtext"/>
            </w:pPr>
            <w:r>
              <w:rPr>
                <w:rStyle w:val="Heading1-Sub"/>
              </w:rPr>
              <w:t>Date</w:t>
            </w:r>
            <w:r>
              <w:tab/>
              <w:t>September 2022</w:t>
            </w:r>
          </w:p>
        </w:tc>
      </w:tr>
    </w:tbl>
    <w:p w:rsidR="003A0DB3" w:rsidRDefault="003A0DB3" w:rsidP="003A0DB3">
      <w:pPr>
        <w:pStyle w:val="BodyText"/>
      </w:pPr>
    </w:p>
    <w:p w:rsidR="003A0DB3" w:rsidRDefault="003A0DB3" w:rsidP="003A0DB3">
      <w:pPr>
        <w:pStyle w:val="TOCHeading"/>
        <w:numPr>
          <w:ilvl w:val="0"/>
          <w:numId w:val="32"/>
        </w:numPr>
      </w:pPr>
      <w:r>
        <w:t>Contents</w:t>
      </w:r>
    </w:p>
    <w:p w:rsidR="008F0D4A" w:rsidRDefault="003A0DB3">
      <w:pPr>
        <w:pStyle w:val="TOC1"/>
        <w:rPr>
          <w:rFonts w:asciiTheme="minorHAnsi" w:eastAsiaTheme="minorEastAsia" w:hAnsiTheme="minorHAnsi"/>
          <w:noProof/>
          <w:color w:val="auto"/>
          <w:sz w:val="22"/>
          <w:lang w:eastAsia="en-NZ"/>
        </w:rPr>
      </w:pPr>
      <w:r>
        <w:rPr>
          <w:rStyle w:val="Heading1-Sub"/>
        </w:rPr>
        <w:fldChar w:fldCharType="begin"/>
      </w:r>
      <w:r>
        <w:rPr>
          <w:rStyle w:val="Heading1-Sub"/>
        </w:rPr>
        <w:instrText xml:space="preserve"> TOC \o "1-3" \h \z \u </w:instrText>
      </w:r>
      <w:r>
        <w:rPr>
          <w:rStyle w:val="Heading1-Sub"/>
        </w:rPr>
        <w:fldChar w:fldCharType="separate"/>
      </w:r>
      <w:hyperlink w:anchor="_Toc115786613" w:history="1">
        <w:r w:rsidR="008F0D4A" w:rsidRPr="002A40F2">
          <w:rPr>
            <w:rStyle w:val="Hyperlink"/>
            <w:noProof/>
          </w:rPr>
          <w:t>Background</w:t>
        </w:r>
        <w:r w:rsidR="008F0D4A">
          <w:rPr>
            <w:noProof/>
            <w:webHidden/>
          </w:rPr>
          <w:tab/>
        </w:r>
        <w:r w:rsidR="008F0D4A">
          <w:rPr>
            <w:noProof/>
            <w:webHidden/>
          </w:rPr>
          <w:fldChar w:fldCharType="begin"/>
        </w:r>
        <w:r w:rsidR="008F0D4A">
          <w:rPr>
            <w:noProof/>
            <w:webHidden/>
          </w:rPr>
          <w:instrText xml:space="preserve"> PAGEREF _Toc115786613 \h </w:instrText>
        </w:r>
        <w:r w:rsidR="008F0D4A">
          <w:rPr>
            <w:noProof/>
            <w:webHidden/>
          </w:rPr>
        </w:r>
        <w:r w:rsidR="008F0D4A">
          <w:rPr>
            <w:noProof/>
            <w:webHidden/>
          </w:rPr>
          <w:fldChar w:fldCharType="separate"/>
        </w:r>
        <w:r w:rsidR="00A155F3">
          <w:rPr>
            <w:noProof/>
            <w:webHidden/>
          </w:rPr>
          <w:t>2</w:t>
        </w:r>
        <w:r w:rsidR="008F0D4A">
          <w:rPr>
            <w:noProof/>
            <w:webHidden/>
          </w:rPr>
          <w:fldChar w:fldCharType="end"/>
        </w:r>
      </w:hyperlink>
    </w:p>
    <w:p w:rsidR="008F0D4A" w:rsidRDefault="003330C8">
      <w:pPr>
        <w:pStyle w:val="TOC1"/>
        <w:rPr>
          <w:rFonts w:asciiTheme="minorHAnsi" w:eastAsiaTheme="minorEastAsia" w:hAnsiTheme="minorHAnsi"/>
          <w:noProof/>
          <w:color w:val="auto"/>
          <w:sz w:val="22"/>
          <w:lang w:eastAsia="en-NZ"/>
        </w:rPr>
      </w:pPr>
      <w:hyperlink w:anchor="_Toc115786614" w:history="1">
        <w:r w:rsidR="008F0D4A" w:rsidRPr="002A40F2">
          <w:rPr>
            <w:rStyle w:val="Hyperlink"/>
            <w:rFonts w:eastAsia="Times New Roman"/>
            <w:noProof/>
          </w:rPr>
          <w:t>Complaint</w:t>
        </w:r>
        <w:r w:rsidR="008F0D4A">
          <w:rPr>
            <w:noProof/>
            <w:webHidden/>
          </w:rPr>
          <w:tab/>
        </w:r>
        <w:r w:rsidR="008F0D4A">
          <w:rPr>
            <w:noProof/>
            <w:webHidden/>
          </w:rPr>
          <w:fldChar w:fldCharType="begin"/>
        </w:r>
        <w:r w:rsidR="008F0D4A">
          <w:rPr>
            <w:noProof/>
            <w:webHidden/>
          </w:rPr>
          <w:instrText xml:space="preserve"> PAGEREF _Toc115786614 \h </w:instrText>
        </w:r>
        <w:r w:rsidR="008F0D4A">
          <w:rPr>
            <w:noProof/>
            <w:webHidden/>
          </w:rPr>
        </w:r>
        <w:r w:rsidR="008F0D4A">
          <w:rPr>
            <w:noProof/>
            <w:webHidden/>
          </w:rPr>
          <w:fldChar w:fldCharType="separate"/>
        </w:r>
        <w:r w:rsidR="00A155F3">
          <w:rPr>
            <w:noProof/>
            <w:webHidden/>
          </w:rPr>
          <w:t>2</w:t>
        </w:r>
        <w:r w:rsidR="008F0D4A">
          <w:rPr>
            <w:noProof/>
            <w:webHidden/>
          </w:rPr>
          <w:fldChar w:fldCharType="end"/>
        </w:r>
      </w:hyperlink>
    </w:p>
    <w:p w:rsidR="008F0D4A" w:rsidRDefault="003330C8">
      <w:pPr>
        <w:pStyle w:val="TOC1"/>
        <w:rPr>
          <w:rFonts w:asciiTheme="minorHAnsi" w:eastAsiaTheme="minorEastAsia" w:hAnsiTheme="minorHAnsi"/>
          <w:noProof/>
          <w:color w:val="auto"/>
          <w:sz w:val="22"/>
          <w:lang w:eastAsia="en-NZ"/>
        </w:rPr>
      </w:pPr>
      <w:hyperlink w:anchor="_Toc115786615" w:history="1">
        <w:r w:rsidR="008F0D4A" w:rsidRPr="002A40F2">
          <w:rPr>
            <w:rStyle w:val="Hyperlink"/>
            <w:rFonts w:eastAsia="Times New Roman"/>
            <w:noProof/>
          </w:rPr>
          <w:t>My Investigation</w:t>
        </w:r>
        <w:r w:rsidR="008F0D4A">
          <w:rPr>
            <w:noProof/>
            <w:webHidden/>
          </w:rPr>
          <w:tab/>
        </w:r>
        <w:r w:rsidR="008F0D4A">
          <w:rPr>
            <w:noProof/>
            <w:webHidden/>
          </w:rPr>
          <w:fldChar w:fldCharType="begin"/>
        </w:r>
        <w:r w:rsidR="008F0D4A">
          <w:rPr>
            <w:noProof/>
            <w:webHidden/>
          </w:rPr>
          <w:instrText xml:space="preserve"> PAGEREF _Toc115786615 \h </w:instrText>
        </w:r>
        <w:r w:rsidR="008F0D4A">
          <w:rPr>
            <w:noProof/>
            <w:webHidden/>
          </w:rPr>
        </w:r>
        <w:r w:rsidR="008F0D4A">
          <w:rPr>
            <w:noProof/>
            <w:webHidden/>
          </w:rPr>
          <w:fldChar w:fldCharType="separate"/>
        </w:r>
        <w:r w:rsidR="00A155F3">
          <w:rPr>
            <w:noProof/>
            <w:webHidden/>
          </w:rPr>
          <w:t>3</w:t>
        </w:r>
        <w:r w:rsidR="008F0D4A">
          <w:rPr>
            <w:noProof/>
            <w:webHidden/>
          </w:rPr>
          <w:fldChar w:fldCharType="end"/>
        </w:r>
      </w:hyperlink>
    </w:p>
    <w:p w:rsidR="008F0D4A" w:rsidRDefault="003330C8">
      <w:pPr>
        <w:pStyle w:val="TOC1"/>
        <w:rPr>
          <w:rFonts w:asciiTheme="minorHAnsi" w:eastAsiaTheme="minorEastAsia" w:hAnsiTheme="minorHAnsi"/>
          <w:noProof/>
          <w:color w:val="auto"/>
          <w:sz w:val="22"/>
          <w:lang w:eastAsia="en-NZ"/>
        </w:rPr>
      </w:pPr>
      <w:hyperlink w:anchor="_Toc115786616" w:history="1">
        <w:r w:rsidR="008F0D4A" w:rsidRPr="002A40F2">
          <w:rPr>
            <w:rStyle w:val="Hyperlink"/>
            <w:rFonts w:eastAsia="Times New Roman"/>
            <w:noProof/>
          </w:rPr>
          <w:t>Analysis</w:t>
        </w:r>
        <w:r w:rsidR="008F0D4A">
          <w:rPr>
            <w:noProof/>
            <w:webHidden/>
          </w:rPr>
          <w:tab/>
        </w:r>
        <w:r w:rsidR="008F0D4A">
          <w:rPr>
            <w:noProof/>
            <w:webHidden/>
          </w:rPr>
          <w:fldChar w:fldCharType="begin"/>
        </w:r>
        <w:r w:rsidR="008F0D4A">
          <w:rPr>
            <w:noProof/>
            <w:webHidden/>
          </w:rPr>
          <w:instrText xml:space="preserve"> PAGEREF _Toc115786616 \h </w:instrText>
        </w:r>
        <w:r w:rsidR="008F0D4A">
          <w:rPr>
            <w:noProof/>
            <w:webHidden/>
          </w:rPr>
        </w:r>
        <w:r w:rsidR="008F0D4A">
          <w:rPr>
            <w:noProof/>
            <w:webHidden/>
          </w:rPr>
          <w:fldChar w:fldCharType="separate"/>
        </w:r>
        <w:r w:rsidR="00A155F3">
          <w:rPr>
            <w:noProof/>
            <w:webHidden/>
          </w:rPr>
          <w:t>4</w:t>
        </w:r>
        <w:r w:rsidR="008F0D4A">
          <w:rPr>
            <w:noProof/>
            <w:webHidden/>
          </w:rPr>
          <w:fldChar w:fldCharType="end"/>
        </w:r>
      </w:hyperlink>
    </w:p>
    <w:p w:rsidR="008F0D4A" w:rsidRDefault="003330C8">
      <w:pPr>
        <w:pStyle w:val="TOC2"/>
        <w:rPr>
          <w:rFonts w:asciiTheme="minorHAnsi" w:eastAsiaTheme="minorEastAsia" w:hAnsiTheme="minorHAnsi"/>
          <w:noProof/>
          <w:color w:val="auto"/>
          <w:sz w:val="22"/>
          <w:lang w:eastAsia="en-NZ"/>
        </w:rPr>
      </w:pPr>
      <w:hyperlink w:anchor="_Toc115786617" w:history="1">
        <w:r w:rsidR="008F0D4A" w:rsidRPr="002A40F2">
          <w:rPr>
            <w:rStyle w:val="Hyperlink"/>
            <w:noProof/>
          </w:rPr>
          <w:t>Action taken on the report of concern</w:t>
        </w:r>
        <w:r w:rsidR="008F0D4A">
          <w:rPr>
            <w:noProof/>
            <w:webHidden/>
          </w:rPr>
          <w:tab/>
        </w:r>
        <w:r w:rsidR="008F0D4A">
          <w:rPr>
            <w:noProof/>
            <w:webHidden/>
          </w:rPr>
          <w:fldChar w:fldCharType="begin"/>
        </w:r>
        <w:r w:rsidR="008F0D4A">
          <w:rPr>
            <w:noProof/>
            <w:webHidden/>
          </w:rPr>
          <w:instrText xml:space="preserve"> PAGEREF _Toc115786617 \h </w:instrText>
        </w:r>
        <w:r w:rsidR="008F0D4A">
          <w:rPr>
            <w:noProof/>
            <w:webHidden/>
          </w:rPr>
        </w:r>
        <w:r w:rsidR="008F0D4A">
          <w:rPr>
            <w:noProof/>
            <w:webHidden/>
          </w:rPr>
          <w:fldChar w:fldCharType="separate"/>
        </w:r>
        <w:r w:rsidR="00A155F3">
          <w:rPr>
            <w:noProof/>
            <w:webHidden/>
          </w:rPr>
          <w:t>4</w:t>
        </w:r>
        <w:r w:rsidR="008F0D4A">
          <w:rPr>
            <w:noProof/>
            <w:webHidden/>
          </w:rPr>
          <w:fldChar w:fldCharType="end"/>
        </w:r>
      </w:hyperlink>
    </w:p>
    <w:p w:rsidR="008F0D4A" w:rsidRDefault="003330C8">
      <w:pPr>
        <w:pStyle w:val="TOC3"/>
        <w:rPr>
          <w:rFonts w:asciiTheme="minorHAnsi" w:eastAsiaTheme="minorEastAsia" w:hAnsiTheme="minorHAnsi"/>
          <w:noProof/>
          <w:color w:val="auto"/>
          <w:sz w:val="22"/>
          <w:lang w:eastAsia="en-NZ"/>
        </w:rPr>
      </w:pPr>
      <w:hyperlink w:anchor="_Toc115786618" w:history="1">
        <w:r w:rsidR="008F0D4A" w:rsidRPr="002A40F2">
          <w:rPr>
            <w:rStyle w:val="Hyperlink"/>
            <w:noProof/>
          </w:rPr>
          <w:t>Other matters</w:t>
        </w:r>
        <w:r w:rsidR="008F0D4A">
          <w:rPr>
            <w:noProof/>
            <w:webHidden/>
          </w:rPr>
          <w:tab/>
        </w:r>
        <w:r w:rsidR="008F0D4A">
          <w:rPr>
            <w:noProof/>
            <w:webHidden/>
          </w:rPr>
          <w:fldChar w:fldCharType="begin"/>
        </w:r>
        <w:r w:rsidR="008F0D4A">
          <w:rPr>
            <w:noProof/>
            <w:webHidden/>
          </w:rPr>
          <w:instrText xml:space="preserve"> PAGEREF _Toc115786618 \h </w:instrText>
        </w:r>
        <w:r w:rsidR="008F0D4A">
          <w:rPr>
            <w:noProof/>
            <w:webHidden/>
          </w:rPr>
        </w:r>
        <w:r w:rsidR="008F0D4A">
          <w:rPr>
            <w:noProof/>
            <w:webHidden/>
          </w:rPr>
          <w:fldChar w:fldCharType="separate"/>
        </w:r>
        <w:r w:rsidR="00A155F3">
          <w:rPr>
            <w:noProof/>
            <w:webHidden/>
          </w:rPr>
          <w:t>7</w:t>
        </w:r>
        <w:r w:rsidR="008F0D4A">
          <w:rPr>
            <w:noProof/>
            <w:webHidden/>
          </w:rPr>
          <w:fldChar w:fldCharType="end"/>
        </w:r>
      </w:hyperlink>
    </w:p>
    <w:p w:rsidR="008F0D4A" w:rsidRDefault="003330C8">
      <w:pPr>
        <w:pStyle w:val="TOC2"/>
        <w:rPr>
          <w:rFonts w:asciiTheme="minorHAnsi" w:eastAsiaTheme="minorEastAsia" w:hAnsiTheme="minorHAnsi"/>
          <w:noProof/>
          <w:color w:val="auto"/>
          <w:sz w:val="22"/>
          <w:lang w:eastAsia="en-NZ"/>
        </w:rPr>
      </w:pPr>
      <w:hyperlink w:anchor="_Toc115786619" w:history="1">
        <w:r w:rsidR="008F0D4A" w:rsidRPr="002A40F2">
          <w:rPr>
            <w:rStyle w:val="Hyperlink"/>
            <w:noProof/>
          </w:rPr>
          <w:t>Information provided to Malachi’s uncle about Oranga Tamariki’s complaints process.</w:t>
        </w:r>
        <w:r w:rsidR="008F0D4A">
          <w:rPr>
            <w:noProof/>
            <w:webHidden/>
          </w:rPr>
          <w:tab/>
        </w:r>
        <w:r w:rsidR="008F0D4A">
          <w:rPr>
            <w:noProof/>
            <w:webHidden/>
          </w:rPr>
          <w:fldChar w:fldCharType="begin"/>
        </w:r>
        <w:r w:rsidR="008F0D4A">
          <w:rPr>
            <w:noProof/>
            <w:webHidden/>
          </w:rPr>
          <w:instrText xml:space="preserve"> PAGEREF _Toc115786619 \h </w:instrText>
        </w:r>
        <w:r w:rsidR="008F0D4A">
          <w:rPr>
            <w:noProof/>
            <w:webHidden/>
          </w:rPr>
        </w:r>
        <w:r w:rsidR="008F0D4A">
          <w:rPr>
            <w:noProof/>
            <w:webHidden/>
          </w:rPr>
          <w:fldChar w:fldCharType="separate"/>
        </w:r>
        <w:r w:rsidR="00A155F3">
          <w:rPr>
            <w:noProof/>
            <w:webHidden/>
          </w:rPr>
          <w:t>7</w:t>
        </w:r>
        <w:r w:rsidR="008F0D4A">
          <w:rPr>
            <w:noProof/>
            <w:webHidden/>
          </w:rPr>
          <w:fldChar w:fldCharType="end"/>
        </w:r>
      </w:hyperlink>
    </w:p>
    <w:p w:rsidR="008F0D4A" w:rsidRDefault="003330C8">
      <w:pPr>
        <w:pStyle w:val="TOC1"/>
        <w:rPr>
          <w:rFonts w:asciiTheme="minorHAnsi" w:eastAsiaTheme="minorEastAsia" w:hAnsiTheme="minorHAnsi"/>
          <w:noProof/>
          <w:color w:val="auto"/>
          <w:sz w:val="22"/>
          <w:lang w:eastAsia="en-NZ"/>
        </w:rPr>
      </w:pPr>
      <w:hyperlink w:anchor="_Toc115786620" w:history="1">
        <w:r w:rsidR="008F0D4A" w:rsidRPr="002A40F2">
          <w:rPr>
            <w:rStyle w:val="Hyperlink"/>
            <w:rFonts w:eastAsia="Times New Roman"/>
            <w:noProof/>
          </w:rPr>
          <w:t>Chief Ombudsman’s opinion</w:t>
        </w:r>
        <w:r w:rsidR="008F0D4A">
          <w:rPr>
            <w:noProof/>
            <w:webHidden/>
          </w:rPr>
          <w:tab/>
        </w:r>
        <w:r w:rsidR="008F0D4A">
          <w:rPr>
            <w:noProof/>
            <w:webHidden/>
          </w:rPr>
          <w:fldChar w:fldCharType="begin"/>
        </w:r>
        <w:r w:rsidR="008F0D4A">
          <w:rPr>
            <w:noProof/>
            <w:webHidden/>
          </w:rPr>
          <w:instrText xml:space="preserve"> PAGEREF _Toc115786620 \h </w:instrText>
        </w:r>
        <w:r w:rsidR="008F0D4A">
          <w:rPr>
            <w:noProof/>
            <w:webHidden/>
          </w:rPr>
        </w:r>
        <w:r w:rsidR="008F0D4A">
          <w:rPr>
            <w:noProof/>
            <w:webHidden/>
          </w:rPr>
          <w:fldChar w:fldCharType="separate"/>
        </w:r>
        <w:r w:rsidR="00A155F3">
          <w:rPr>
            <w:noProof/>
            <w:webHidden/>
          </w:rPr>
          <w:t>8</w:t>
        </w:r>
        <w:r w:rsidR="008F0D4A">
          <w:rPr>
            <w:noProof/>
            <w:webHidden/>
          </w:rPr>
          <w:fldChar w:fldCharType="end"/>
        </w:r>
      </w:hyperlink>
    </w:p>
    <w:p w:rsidR="008F0D4A" w:rsidRDefault="003330C8">
      <w:pPr>
        <w:pStyle w:val="TOC1"/>
        <w:rPr>
          <w:rFonts w:asciiTheme="minorHAnsi" w:eastAsiaTheme="minorEastAsia" w:hAnsiTheme="minorHAnsi"/>
          <w:noProof/>
          <w:color w:val="auto"/>
          <w:sz w:val="22"/>
          <w:lang w:eastAsia="en-NZ"/>
        </w:rPr>
      </w:pPr>
      <w:hyperlink w:anchor="_Toc115786621" w:history="1">
        <w:r w:rsidR="008F0D4A" w:rsidRPr="002A40F2">
          <w:rPr>
            <w:rStyle w:val="Hyperlink"/>
            <w:noProof/>
          </w:rPr>
          <w:t>Recommendations</w:t>
        </w:r>
        <w:r w:rsidR="008F0D4A">
          <w:rPr>
            <w:noProof/>
            <w:webHidden/>
          </w:rPr>
          <w:tab/>
        </w:r>
        <w:r w:rsidR="008F0D4A">
          <w:rPr>
            <w:noProof/>
            <w:webHidden/>
          </w:rPr>
          <w:fldChar w:fldCharType="begin"/>
        </w:r>
        <w:r w:rsidR="008F0D4A">
          <w:rPr>
            <w:noProof/>
            <w:webHidden/>
          </w:rPr>
          <w:instrText xml:space="preserve"> PAGEREF _Toc115786621 \h </w:instrText>
        </w:r>
        <w:r w:rsidR="008F0D4A">
          <w:rPr>
            <w:noProof/>
            <w:webHidden/>
          </w:rPr>
        </w:r>
        <w:r w:rsidR="008F0D4A">
          <w:rPr>
            <w:noProof/>
            <w:webHidden/>
          </w:rPr>
          <w:fldChar w:fldCharType="separate"/>
        </w:r>
        <w:r w:rsidR="00A155F3">
          <w:rPr>
            <w:noProof/>
            <w:webHidden/>
          </w:rPr>
          <w:t>8</w:t>
        </w:r>
        <w:r w:rsidR="008F0D4A">
          <w:rPr>
            <w:noProof/>
            <w:webHidden/>
          </w:rPr>
          <w:fldChar w:fldCharType="end"/>
        </w:r>
      </w:hyperlink>
    </w:p>
    <w:p w:rsidR="008F0D4A" w:rsidRDefault="003330C8">
      <w:pPr>
        <w:pStyle w:val="TOC1"/>
        <w:rPr>
          <w:rFonts w:asciiTheme="minorHAnsi" w:eastAsiaTheme="minorEastAsia" w:hAnsiTheme="minorHAnsi"/>
          <w:noProof/>
          <w:color w:val="auto"/>
          <w:sz w:val="22"/>
          <w:lang w:eastAsia="en-NZ"/>
        </w:rPr>
      </w:pPr>
      <w:hyperlink w:anchor="_Toc115786622" w:history="1">
        <w:r w:rsidR="008F0D4A" w:rsidRPr="002A40F2">
          <w:rPr>
            <w:rStyle w:val="Hyperlink"/>
            <w:noProof/>
          </w:rPr>
          <w:t>Appendix 1. Legislation</w:t>
        </w:r>
        <w:r w:rsidR="008F0D4A">
          <w:rPr>
            <w:noProof/>
            <w:webHidden/>
          </w:rPr>
          <w:tab/>
        </w:r>
        <w:r w:rsidR="008F0D4A">
          <w:rPr>
            <w:noProof/>
            <w:webHidden/>
          </w:rPr>
          <w:fldChar w:fldCharType="begin"/>
        </w:r>
        <w:r w:rsidR="008F0D4A">
          <w:rPr>
            <w:noProof/>
            <w:webHidden/>
          </w:rPr>
          <w:instrText xml:space="preserve"> PAGEREF _Toc115786622 \h </w:instrText>
        </w:r>
        <w:r w:rsidR="008F0D4A">
          <w:rPr>
            <w:noProof/>
            <w:webHidden/>
          </w:rPr>
        </w:r>
        <w:r w:rsidR="008F0D4A">
          <w:rPr>
            <w:noProof/>
            <w:webHidden/>
          </w:rPr>
          <w:fldChar w:fldCharType="separate"/>
        </w:r>
        <w:r w:rsidR="00A155F3">
          <w:rPr>
            <w:noProof/>
            <w:webHidden/>
          </w:rPr>
          <w:t>10</w:t>
        </w:r>
        <w:r w:rsidR="008F0D4A">
          <w:rPr>
            <w:noProof/>
            <w:webHidden/>
          </w:rPr>
          <w:fldChar w:fldCharType="end"/>
        </w:r>
      </w:hyperlink>
    </w:p>
    <w:p w:rsidR="008F0D4A" w:rsidRDefault="003330C8">
      <w:pPr>
        <w:pStyle w:val="TOC3"/>
        <w:rPr>
          <w:rFonts w:asciiTheme="minorHAnsi" w:eastAsiaTheme="minorEastAsia" w:hAnsiTheme="minorHAnsi"/>
          <w:noProof/>
          <w:color w:val="auto"/>
          <w:sz w:val="22"/>
          <w:lang w:eastAsia="en-NZ"/>
        </w:rPr>
      </w:pPr>
      <w:hyperlink w:anchor="_Toc115786623" w:history="1">
        <w:r w:rsidR="008F0D4A" w:rsidRPr="002A40F2">
          <w:rPr>
            <w:rStyle w:val="Hyperlink"/>
            <w:noProof/>
          </w:rPr>
          <w:t>Ombudsmen Act 1975</w:t>
        </w:r>
        <w:r w:rsidR="008F0D4A">
          <w:rPr>
            <w:noProof/>
            <w:webHidden/>
          </w:rPr>
          <w:tab/>
        </w:r>
        <w:r w:rsidR="008F0D4A">
          <w:rPr>
            <w:noProof/>
            <w:webHidden/>
          </w:rPr>
          <w:fldChar w:fldCharType="begin"/>
        </w:r>
        <w:r w:rsidR="008F0D4A">
          <w:rPr>
            <w:noProof/>
            <w:webHidden/>
          </w:rPr>
          <w:instrText xml:space="preserve"> PAGEREF _Toc115786623 \h </w:instrText>
        </w:r>
        <w:r w:rsidR="008F0D4A">
          <w:rPr>
            <w:noProof/>
            <w:webHidden/>
          </w:rPr>
        </w:r>
        <w:r w:rsidR="008F0D4A">
          <w:rPr>
            <w:noProof/>
            <w:webHidden/>
          </w:rPr>
          <w:fldChar w:fldCharType="separate"/>
        </w:r>
        <w:r w:rsidR="00A155F3">
          <w:rPr>
            <w:noProof/>
            <w:webHidden/>
          </w:rPr>
          <w:t>10</w:t>
        </w:r>
        <w:r w:rsidR="008F0D4A">
          <w:rPr>
            <w:noProof/>
            <w:webHidden/>
          </w:rPr>
          <w:fldChar w:fldCharType="end"/>
        </w:r>
      </w:hyperlink>
    </w:p>
    <w:p w:rsidR="008F0D4A" w:rsidRDefault="003330C8">
      <w:pPr>
        <w:pStyle w:val="TOC3"/>
        <w:rPr>
          <w:rFonts w:asciiTheme="minorHAnsi" w:eastAsiaTheme="minorEastAsia" w:hAnsiTheme="minorHAnsi"/>
          <w:noProof/>
          <w:color w:val="auto"/>
          <w:sz w:val="22"/>
          <w:lang w:eastAsia="en-NZ"/>
        </w:rPr>
      </w:pPr>
      <w:hyperlink w:anchor="_Toc115786624" w:history="1">
        <w:r w:rsidR="008F0D4A" w:rsidRPr="002A40F2">
          <w:rPr>
            <w:rStyle w:val="Hyperlink"/>
            <w:noProof/>
          </w:rPr>
          <w:t>Oranga Tamariki Act 1989</w:t>
        </w:r>
        <w:r w:rsidR="008F0D4A">
          <w:rPr>
            <w:noProof/>
            <w:webHidden/>
          </w:rPr>
          <w:tab/>
        </w:r>
        <w:r w:rsidR="008F0D4A">
          <w:rPr>
            <w:noProof/>
            <w:webHidden/>
          </w:rPr>
          <w:fldChar w:fldCharType="begin"/>
        </w:r>
        <w:r w:rsidR="008F0D4A">
          <w:rPr>
            <w:noProof/>
            <w:webHidden/>
          </w:rPr>
          <w:instrText xml:space="preserve"> PAGEREF _Toc115786624 \h </w:instrText>
        </w:r>
        <w:r w:rsidR="008F0D4A">
          <w:rPr>
            <w:noProof/>
            <w:webHidden/>
          </w:rPr>
        </w:r>
        <w:r w:rsidR="008F0D4A">
          <w:rPr>
            <w:noProof/>
            <w:webHidden/>
          </w:rPr>
          <w:fldChar w:fldCharType="separate"/>
        </w:r>
        <w:r w:rsidR="00A155F3">
          <w:rPr>
            <w:noProof/>
            <w:webHidden/>
          </w:rPr>
          <w:t>11</w:t>
        </w:r>
        <w:r w:rsidR="008F0D4A">
          <w:rPr>
            <w:noProof/>
            <w:webHidden/>
          </w:rPr>
          <w:fldChar w:fldCharType="end"/>
        </w:r>
      </w:hyperlink>
    </w:p>
    <w:p w:rsidR="003A0DB3" w:rsidRDefault="003A0DB3" w:rsidP="003A0DB3">
      <w:pPr>
        <w:pStyle w:val="BodyText"/>
        <w:rPr>
          <w:rStyle w:val="Heading1-Sub"/>
        </w:rPr>
      </w:pPr>
      <w:r>
        <w:rPr>
          <w:rStyle w:val="Heading1-Sub"/>
        </w:rPr>
        <w:fldChar w:fldCharType="end"/>
      </w:r>
    </w:p>
    <w:p w:rsidR="003A0DB3" w:rsidRDefault="003A0DB3" w:rsidP="003A0DB3">
      <w:pPr>
        <w:pStyle w:val="Heading1"/>
        <w:numPr>
          <w:ilvl w:val="0"/>
          <w:numId w:val="32"/>
        </w:numPr>
      </w:pPr>
      <w:bookmarkStart w:id="3" w:name="_Toc115786613"/>
      <w:r>
        <w:lastRenderedPageBreak/>
        <w:t>Background</w:t>
      </w:r>
      <w:bookmarkEnd w:id="3"/>
    </w:p>
    <w:p w:rsidR="003A0DB3" w:rsidRDefault="003A0DB3" w:rsidP="003A0DB3">
      <w:pPr>
        <w:pStyle w:val="Number1"/>
        <w:numPr>
          <w:ilvl w:val="0"/>
          <w:numId w:val="31"/>
        </w:numPr>
      </w:pPr>
      <w:r>
        <w:t xml:space="preserve">The Chief Ombudsman received a complaint against Oranga Tamariki about Malachi (5 years old) from his uncle and cousin. </w:t>
      </w:r>
    </w:p>
    <w:p w:rsidR="003A0DB3" w:rsidRDefault="00D4310A" w:rsidP="003A0DB3">
      <w:pPr>
        <w:pStyle w:val="Number1"/>
        <w:numPr>
          <w:ilvl w:val="0"/>
          <w:numId w:val="31"/>
        </w:numPr>
      </w:pPr>
      <w:r>
        <w:t>In late June 2021</w:t>
      </w:r>
      <w:r w:rsidR="003A0DB3">
        <w:t xml:space="preserve"> Malachi’s mother was sent to prison. There had reportedly been some discussion in the family regarding Malachi’s care, and the complainants understood that Malachi’s mother would be leaving Malachi in the care of his cousin.</w:t>
      </w:r>
    </w:p>
    <w:p w:rsidR="003A0DB3" w:rsidRDefault="003A0DB3" w:rsidP="003A0DB3">
      <w:pPr>
        <w:pStyle w:val="Number1"/>
        <w:numPr>
          <w:ilvl w:val="0"/>
          <w:numId w:val="31"/>
        </w:numPr>
      </w:pPr>
      <w:r>
        <w:t xml:space="preserve">On 21 June 2021 the family were advised that Malachi’s mother had placed Malachi in the care of a friend (the caregiver).  </w:t>
      </w:r>
    </w:p>
    <w:p w:rsidR="003A0DB3" w:rsidRDefault="003A0DB3" w:rsidP="003A0DB3">
      <w:pPr>
        <w:pStyle w:val="Number1"/>
        <w:numPr>
          <w:ilvl w:val="0"/>
          <w:numId w:val="31"/>
        </w:numPr>
      </w:pPr>
      <w:r>
        <w:t xml:space="preserve">On 22 June 2021 Malachi’s cousin visited an Oranga Tamariki site to make a report of concern. </w:t>
      </w:r>
    </w:p>
    <w:p w:rsidR="003A0DB3" w:rsidRDefault="003A0DB3" w:rsidP="003A0DB3">
      <w:pPr>
        <w:pStyle w:val="Number1"/>
        <w:numPr>
          <w:ilvl w:val="0"/>
          <w:numId w:val="31"/>
        </w:numPr>
      </w:pPr>
      <w:r>
        <w:t>On 28 June 2021 Malachi’s cousin emailed a photograph of Malachi to Oranga Tamariki, showing what she suspected as bruising around his eye.</w:t>
      </w:r>
    </w:p>
    <w:p w:rsidR="003A0DB3" w:rsidRDefault="003A0DB3" w:rsidP="003A0DB3">
      <w:pPr>
        <w:pStyle w:val="Number1"/>
        <w:numPr>
          <w:ilvl w:val="0"/>
          <w:numId w:val="31"/>
        </w:numPr>
      </w:pPr>
      <w:r>
        <w:t xml:space="preserve">Sometime in July 2021 Malachi’s cousin complained to Oranga Tamariki regarding its decision about her report of concern. </w:t>
      </w:r>
    </w:p>
    <w:p w:rsidR="003A0DB3" w:rsidRDefault="003A0DB3" w:rsidP="003A0DB3">
      <w:pPr>
        <w:pStyle w:val="Number1"/>
        <w:numPr>
          <w:ilvl w:val="0"/>
          <w:numId w:val="31"/>
        </w:numPr>
      </w:pPr>
      <w:r>
        <w:t xml:space="preserve">On 1 November 2021 a Child Protection Protocol (CPP) referral was made to Oranga Tamariki by a DHB Family Violence and Child Protection Coordinator, after Malachi was admitted to hospital with significant injuries. </w:t>
      </w:r>
    </w:p>
    <w:p w:rsidR="003A0DB3" w:rsidRDefault="003A0DB3" w:rsidP="003A0DB3">
      <w:pPr>
        <w:pStyle w:val="Number1"/>
        <w:numPr>
          <w:ilvl w:val="0"/>
          <w:numId w:val="31"/>
        </w:numPr>
      </w:pPr>
      <w:r>
        <w:t>On 2 November 2021 Malachi’s cousin received a call from Oranga Tamariki advising that Malachi was in a serious condition and there were concerns he would not survive the day.</w:t>
      </w:r>
    </w:p>
    <w:p w:rsidR="003A0DB3" w:rsidRDefault="003A0DB3" w:rsidP="003A0DB3">
      <w:pPr>
        <w:pStyle w:val="Number1"/>
        <w:numPr>
          <w:ilvl w:val="0"/>
          <w:numId w:val="31"/>
        </w:numPr>
      </w:pPr>
      <w:r>
        <w:t>Malachi’s uncle reports that on 2 November 2021, sometime between 1:00pm and 3:30pm, he called Oranga Tamariki to ask how to make a complaint. Malachi’s uncle recalls receiving advice that there was no complaints process and that he could speak directly to the duty social worker concerned.</w:t>
      </w:r>
    </w:p>
    <w:p w:rsidR="003A0DB3" w:rsidRDefault="003A0DB3" w:rsidP="003A0DB3">
      <w:pPr>
        <w:pStyle w:val="Number1"/>
        <w:numPr>
          <w:ilvl w:val="0"/>
          <w:numId w:val="31"/>
        </w:numPr>
      </w:pPr>
      <w:r>
        <w:t xml:space="preserve">On 12 November 2021 Malachi died as a result of Non-Accidental Injuries (NAI). </w:t>
      </w:r>
    </w:p>
    <w:p w:rsidR="003A0DB3" w:rsidRDefault="003A0DB3" w:rsidP="003A0DB3">
      <w:pPr>
        <w:pStyle w:val="Heading1"/>
        <w:numPr>
          <w:ilvl w:val="0"/>
          <w:numId w:val="32"/>
        </w:numPr>
      </w:pPr>
      <w:bookmarkStart w:id="4" w:name="_Toc115786614"/>
      <w:r>
        <w:rPr>
          <w:rFonts w:eastAsia="Times New Roman"/>
        </w:rPr>
        <w:t>Complaint</w:t>
      </w:r>
      <w:bookmarkEnd w:id="4"/>
    </w:p>
    <w:p w:rsidR="003A0DB3" w:rsidRPr="005117FB" w:rsidRDefault="003A0DB3" w:rsidP="003A0DB3">
      <w:pPr>
        <w:pStyle w:val="Number1"/>
        <w:numPr>
          <w:ilvl w:val="0"/>
          <w:numId w:val="31"/>
        </w:numPr>
        <w:rPr>
          <w:rStyle w:val="Quotationwithinthesentence"/>
          <w:i w:val="0"/>
        </w:rPr>
      </w:pPr>
      <w:r w:rsidRPr="005117FB">
        <w:rPr>
          <w:rStyle w:val="Quotationwithinthesentence"/>
          <w:i w:val="0"/>
        </w:rPr>
        <w:t xml:space="preserve">On 8 November 2021 I received the complaint from </w:t>
      </w:r>
      <w:r>
        <w:rPr>
          <w:rStyle w:val="Quotationwithinthesentence"/>
          <w:i w:val="0"/>
        </w:rPr>
        <w:t>Malachi’s uncle and cousin</w:t>
      </w:r>
      <w:r w:rsidRPr="005117FB">
        <w:rPr>
          <w:rStyle w:val="Quotationwithinthesentence"/>
          <w:i w:val="0"/>
        </w:rPr>
        <w:t>, and Oranga Tamariki was notified of my investigation on 17 December 2021.</w:t>
      </w:r>
    </w:p>
    <w:p w:rsidR="003A0DB3" w:rsidRDefault="003A0DB3" w:rsidP="003A0DB3">
      <w:pPr>
        <w:pStyle w:val="Number1"/>
        <w:numPr>
          <w:ilvl w:val="0"/>
          <w:numId w:val="31"/>
        </w:numPr>
      </w:pPr>
      <w:r>
        <w:t xml:space="preserve">The concerns relate primarily to the care and protection of Malachi; he was 5 years old when he died. </w:t>
      </w:r>
    </w:p>
    <w:p w:rsidR="003A0DB3" w:rsidRDefault="003A0DB3" w:rsidP="003A0DB3">
      <w:pPr>
        <w:pStyle w:val="Number1"/>
        <w:numPr>
          <w:ilvl w:val="0"/>
          <w:numId w:val="31"/>
        </w:numPr>
      </w:pPr>
      <w:r>
        <w:t>The concerns raised by Malachi’s uncle and cousin were:</w:t>
      </w:r>
    </w:p>
    <w:p w:rsidR="003A0DB3" w:rsidRDefault="003A0DB3" w:rsidP="003A0DB3">
      <w:pPr>
        <w:pStyle w:val="Number2"/>
        <w:numPr>
          <w:ilvl w:val="1"/>
          <w:numId w:val="31"/>
        </w:numPr>
      </w:pPr>
      <w:r>
        <w:t>That there was a failure to properly address the report of concern made by Malachi’s cousin.</w:t>
      </w:r>
    </w:p>
    <w:p w:rsidR="003A0DB3" w:rsidRDefault="003A0DB3" w:rsidP="003A0DB3">
      <w:pPr>
        <w:pStyle w:val="Number2"/>
        <w:numPr>
          <w:ilvl w:val="1"/>
          <w:numId w:val="31"/>
        </w:numPr>
      </w:pPr>
      <w:r>
        <w:t>That incorrect information was provided to Malachi’s uncle, namely that Oranga Tamariki did not have a complaints process.</w:t>
      </w:r>
    </w:p>
    <w:p w:rsidR="003A0DB3" w:rsidRDefault="003A0DB3" w:rsidP="003A0DB3">
      <w:pPr>
        <w:pStyle w:val="Heading1"/>
        <w:numPr>
          <w:ilvl w:val="0"/>
          <w:numId w:val="32"/>
        </w:numPr>
      </w:pPr>
      <w:bookmarkStart w:id="5" w:name="_Toc115786615"/>
      <w:r>
        <w:rPr>
          <w:rFonts w:eastAsia="Times New Roman"/>
        </w:rPr>
        <w:t>My Investigation</w:t>
      </w:r>
      <w:bookmarkEnd w:id="5"/>
    </w:p>
    <w:p w:rsidR="003A0DB3" w:rsidRDefault="003A0DB3" w:rsidP="003A0DB3">
      <w:pPr>
        <w:pStyle w:val="Number1"/>
        <w:numPr>
          <w:ilvl w:val="0"/>
          <w:numId w:val="31"/>
        </w:numPr>
        <w:rPr>
          <w:rStyle w:val="Quotationwithinthesentence"/>
          <w:i w:val="0"/>
        </w:rPr>
      </w:pPr>
      <w:r w:rsidRPr="005117FB">
        <w:rPr>
          <w:rStyle w:val="BodyTextChar"/>
        </w:rPr>
        <w:t xml:space="preserve">Information from Oranga Tamariki records to assist my investigation was provided </w:t>
      </w:r>
      <w:r>
        <w:rPr>
          <w:rStyle w:val="BodyTextChar"/>
        </w:rPr>
        <w:t xml:space="preserve">by Oranga Tamariki </w:t>
      </w:r>
      <w:r w:rsidRPr="005117FB">
        <w:rPr>
          <w:rStyle w:val="BodyTextChar"/>
        </w:rPr>
        <w:t xml:space="preserve">on 4 February 2022. </w:t>
      </w:r>
      <w:r>
        <w:t xml:space="preserve">In response to my notification of investigation into this matter, Oranga Tamariki did not provide comment on actions taken on the report of concern, </w:t>
      </w:r>
      <w:r w:rsidRPr="005117FB">
        <w:rPr>
          <w:rStyle w:val="BodyTextChar"/>
        </w:rPr>
        <w:t>advising that:</w:t>
      </w:r>
    </w:p>
    <w:p w:rsidR="003A0DB3" w:rsidRPr="005117FB" w:rsidRDefault="003A0DB3" w:rsidP="003A0DB3">
      <w:pPr>
        <w:pStyle w:val="Quotationseparateparagraph"/>
        <w:ind w:left="1134"/>
        <w:rPr>
          <w:rStyle w:val="Quotationwithinthesentence"/>
          <w:i/>
        </w:rPr>
      </w:pPr>
      <w:r w:rsidRPr="005117FB">
        <w:rPr>
          <w:rStyle w:val="Quotationwithinthesentence"/>
          <w:i/>
        </w:rPr>
        <w:t>commenting on this concern may be inappropriate at this time, as there are several processes underway examining the circumstances of this death which are yet to reach outcomes. Oranga Tamariki are supporting Police as the criminal investigation is in progress, as well as we will be likely to provide evidence in the probable coronial matter following.</w:t>
      </w:r>
    </w:p>
    <w:p w:rsidR="003A0DB3" w:rsidRPr="005117FB" w:rsidRDefault="003A0DB3" w:rsidP="003A0DB3">
      <w:pPr>
        <w:pStyle w:val="Number1"/>
        <w:rPr>
          <w:rStyle w:val="Quotationwithinthesentence"/>
          <w:i w:val="0"/>
        </w:rPr>
      </w:pPr>
      <w:r w:rsidRPr="005117FB">
        <w:rPr>
          <w:rStyle w:val="Quotationwithinthesentence"/>
          <w:i w:val="0"/>
        </w:rPr>
        <w:t xml:space="preserve">In early May 2022 there was significant media interest in Malachi’s death, which included an announcement of Oranga Tamariki’s intention to conduct a practice review. </w:t>
      </w:r>
    </w:p>
    <w:p w:rsidR="003A0DB3" w:rsidRPr="005117FB" w:rsidRDefault="003A0DB3" w:rsidP="003A0DB3">
      <w:pPr>
        <w:pStyle w:val="Number1"/>
        <w:rPr>
          <w:rStyle w:val="Quotationwithinthesentence"/>
          <w:i w:val="0"/>
        </w:rPr>
      </w:pPr>
      <w:r w:rsidRPr="005117FB">
        <w:rPr>
          <w:rStyle w:val="Quotationwithinthesentence"/>
          <w:i w:val="0"/>
        </w:rPr>
        <w:t xml:space="preserve">On 19 May 2022 my staff met with </w:t>
      </w:r>
      <w:r>
        <w:rPr>
          <w:rStyle w:val="Quotationwithinthesentence"/>
          <w:i w:val="0"/>
        </w:rPr>
        <w:t>Oranga Tamariki</w:t>
      </w:r>
      <w:r w:rsidRPr="005117FB">
        <w:rPr>
          <w:rStyle w:val="Quotationwithinthesentence"/>
          <w:i w:val="0"/>
        </w:rPr>
        <w:t xml:space="preserve"> staff, who advised Oranga Tamariki w</w:t>
      </w:r>
      <w:r>
        <w:rPr>
          <w:rStyle w:val="Quotationwithinthesentence"/>
          <w:i w:val="0"/>
        </w:rPr>
        <w:t>ould</w:t>
      </w:r>
      <w:r w:rsidRPr="005117FB">
        <w:rPr>
          <w:rStyle w:val="Quotationwithinthesentence"/>
          <w:i w:val="0"/>
        </w:rPr>
        <w:t xml:space="preserve"> be conducting a practice review</w:t>
      </w:r>
      <w:r>
        <w:rPr>
          <w:rStyle w:val="Quotationwithinthesentence"/>
          <w:i w:val="0"/>
        </w:rPr>
        <w:t xml:space="preserve"> into Oranga Tamariki’s specific actions.</w:t>
      </w:r>
      <w:r w:rsidRPr="005117FB">
        <w:rPr>
          <w:rStyle w:val="Quotationwithinthesentence"/>
          <w:i w:val="0"/>
        </w:rPr>
        <w:t xml:space="preserve"> </w:t>
      </w:r>
      <w:r>
        <w:rPr>
          <w:rStyle w:val="Quotationwithinthesentence"/>
          <w:i w:val="0"/>
        </w:rPr>
        <w:t>There would also be a</w:t>
      </w:r>
      <w:r w:rsidRPr="005117FB">
        <w:rPr>
          <w:rStyle w:val="Quotationwithinthesentence"/>
          <w:i w:val="0"/>
        </w:rPr>
        <w:t xml:space="preserve"> </w:t>
      </w:r>
      <w:r>
        <w:rPr>
          <w:rStyle w:val="Quotationwithinthesentence"/>
          <w:i w:val="0"/>
        </w:rPr>
        <w:t xml:space="preserve">wider </w:t>
      </w:r>
      <w:r w:rsidRPr="005117FB">
        <w:rPr>
          <w:rStyle w:val="Quotationwithinthesentence"/>
          <w:i w:val="0"/>
        </w:rPr>
        <w:t>systems review</w:t>
      </w:r>
      <w:r>
        <w:rPr>
          <w:rStyle w:val="Quotationwithinthesentence"/>
          <w:i w:val="0"/>
        </w:rPr>
        <w:t>, led by an independent reviewer which would consider issues across agencies</w:t>
      </w:r>
      <w:r w:rsidRPr="005117FB">
        <w:rPr>
          <w:rStyle w:val="Quotationwithinthesentence"/>
          <w:i w:val="0"/>
        </w:rPr>
        <w:t xml:space="preserve">. </w:t>
      </w:r>
    </w:p>
    <w:p w:rsidR="003A0DB3" w:rsidRPr="005117FB" w:rsidRDefault="003A0DB3" w:rsidP="003A0DB3">
      <w:pPr>
        <w:pStyle w:val="Number1"/>
        <w:rPr>
          <w:rStyle w:val="Quotationwithinthesentence"/>
          <w:i w:val="0"/>
        </w:rPr>
      </w:pPr>
      <w:r w:rsidRPr="005117FB">
        <w:rPr>
          <w:rStyle w:val="Quotationwithinthesentence"/>
          <w:i w:val="0"/>
        </w:rPr>
        <w:t>On 10 June 2022 Oranga Tamariki provided</w:t>
      </w:r>
      <w:r>
        <w:rPr>
          <w:rStyle w:val="Quotationwithinthesentence"/>
          <w:i w:val="0"/>
        </w:rPr>
        <w:t xml:space="preserve"> me with</w:t>
      </w:r>
      <w:r w:rsidRPr="005117FB">
        <w:rPr>
          <w:rStyle w:val="Quotationwithinthesentence"/>
          <w:i w:val="0"/>
        </w:rPr>
        <w:t xml:space="preserve"> a draft terms of reference for its practice review</w:t>
      </w:r>
      <w:r>
        <w:rPr>
          <w:rStyle w:val="Quotationwithinthesentence"/>
          <w:i w:val="0"/>
        </w:rPr>
        <w:t xml:space="preserve"> (this was subsequently amended in August 2022)</w:t>
      </w:r>
      <w:r w:rsidRPr="005117FB">
        <w:rPr>
          <w:rStyle w:val="Quotationwithinthesentence"/>
          <w:i w:val="0"/>
        </w:rPr>
        <w:t>.</w:t>
      </w:r>
      <w:r>
        <w:rPr>
          <w:rStyle w:val="Quotationwithinthesentence"/>
          <w:i w:val="0"/>
        </w:rPr>
        <w:t xml:space="preserve"> </w:t>
      </w:r>
      <w:r w:rsidRPr="005117FB">
        <w:rPr>
          <w:rStyle w:val="Quotationwithinthesentence"/>
          <w:i w:val="0"/>
        </w:rPr>
        <w:t xml:space="preserve"> </w:t>
      </w:r>
    </w:p>
    <w:p w:rsidR="003A0DB3" w:rsidRPr="005117FB" w:rsidRDefault="003A0DB3" w:rsidP="003A0DB3">
      <w:pPr>
        <w:pStyle w:val="Number1"/>
        <w:rPr>
          <w:rStyle w:val="Quotationwithinthesentence"/>
          <w:i w:val="0"/>
        </w:rPr>
      </w:pPr>
      <w:r>
        <w:rPr>
          <w:rStyle w:val="Quotationwithinthesentence"/>
          <w:i w:val="0"/>
        </w:rPr>
        <w:t xml:space="preserve">After analysing the Oranga Tamariki records provided to me, </w:t>
      </w:r>
      <w:r w:rsidRPr="005117FB">
        <w:rPr>
          <w:rStyle w:val="Quotationwithinthesentence"/>
          <w:i w:val="0"/>
        </w:rPr>
        <w:t>I completed my provisional opinion on 15 July 2022</w:t>
      </w:r>
      <w:r>
        <w:rPr>
          <w:rStyle w:val="Quotationwithinthesentence"/>
          <w:i w:val="0"/>
        </w:rPr>
        <w:t>, with proposed recommendations including apologies.</w:t>
      </w:r>
      <w:r w:rsidRPr="005117FB">
        <w:rPr>
          <w:rStyle w:val="Quotationwithinthesentence"/>
          <w:i w:val="0"/>
        </w:rPr>
        <w:t xml:space="preserve"> </w:t>
      </w:r>
      <w:r>
        <w:rPr>
          <w:rStyle w:val="Quotationwithinthesentence"/>
          <w:i w:val="0"/>
        </w:rPr>
        <w:t>As required by section 18(3) of the Ombudsmen Act 1975, and i</w:t>
      </w:r>
      <w:r w:rsidRPr="005117FB">
        <w:rPr>
          <w:rStyle w:val="Quotationwithinthesentence"/>
          <w:i w:val="0"/>
        </w:rPr>
        <w:t xml:space="preserve">n accordance with natural justice, </w:t>
      </w:r>
      <w:r>
        <w:rPr>
          <w:rStyle w:val="Quotationwithinthesentence"/>
          <w:i w:val="0"/>
        </w:rPr>
        <w:t xml:space="preserve">I </w:t>
      </w:r>
      <w:r w:rsidRPr="005117FB">
        <w:rPr>
          <w:rStyle w:val="Quotationwithinthesentence"/>
          <w:i w:val="0"/>
        </w:rPr>
        <w:t xml:space="preserve">invited Oranga Tamariki to comment </w:t>
      </w:r>
      <w:r>
        <w:rPr>
          <w:rStyle w:val="Quotationwithinthesentence"/>
          <w:i w:val="0"/>
        </w:rPr>
        <w:t xml:space="preserve">by 29 July 2022, </w:t>
      </w:r>
      <w:r w:rsidRPr="005117FB">
        <w:rPr>
          <w:rStyle w:val="Quotationwithinthesentence"/>
          <w:i w:val="0"/>
        </w:rPr>
        <w:t>before I formed my final opinion</w:t>
      </w:r>
      <w:r>
        <w:rPr>
          <w:rStyle w:val="Quotationwithinthesentence"/>
          <w:i w:val="0"/>
        </w:rPr>
        <w:t>.</w:t>
      </w:r>
    </w:p>
    <w:p w:rsidR="003A0DB3" w:rsidRPr="005117FB" w:rsidRDefault="003A0DB3" w:rsidP="003A0DB3">
      <w:pPr>
        <w:pStyle w:val="Number1"/>
        <w:rPr>
          <w:rStyle w:val="Quotationwithinthesentence"/>
          <w:i w:val="0"/>
        </w:rPr>
      </w:pPr>
      <w:r w:rsidRPr="005117FB">
        <w:rPr>
          <w:rStyle w:val="Quotationwithinthesentence"/>
          <w:i w:val="0"/>
        </w:rPr>
        <w:t xml:space="preserve">On 3 August 2022 Oranga Tamariki advised that it would appreciate an opportunity to meet following the completion of the practice review to discuss what this may mean for my investigation. Oranga Tamariki had previously contacted my </w:t>
      </w:r>
      <w:r>
        <w:rPr>
          <w:rStyle w:val="Quotationwithinthesentence"/>
          <w:i w:val="0"/>
        </w:rPr>
        <w:t>o</w:t>
      </w:r>
      <w:r w:rsidRPr="005117FB">
        <w:rPr>
          <w:rStyle w:val="Quotationwithinthesentence"/>
          <w:i w:val="0"/>
        </w:rPr>
        <w:t>ffice to schedule a meeting with me on 4 August 2022</w:t>
      </w:r>
      <w:r>
        <w:rPr>
          <w:rStyle w:val="Quotationwithinthesentence"/>
          <w:i w:val="0"/>
        </w:rPr>
        <w:t>. H</w:t>
      </w:r>
      <w:r w:rsidRPr="005117FB">
        <w:rPr>
          <w:rStyle w:val="Quotationwithinthesentence"/>
          <w:i w:val="0"/>
        </w:rPr>
        <w:t>owever</w:t>
      </w:r>
      <w:r>
        <w:rPr>
          <w:rStyle w:val="Quotationwithinthesentence"/>
          <w:i w:val="0"/>
        </w:rPr>
        <w:t>,</w:t>
      </w:r>
      <w:r w:rsidRPr="005117FB">
        <w:rPr>
          <w:rStyle w:val="Quotationwithinthesentence"/>
          <w:i w:val="0"/>
        </w:rPr>
        <w:t xml:space="preserve"> this meeting </w:t>
      </w:r>
      <w:r>
        <w:rPr>
          <w:rStyle w:val="Quotationwithinthesentence"/>
          <w:i w:val="0"/>
        </w:rPr>
        <w:t>needed to be</w:t>
      </w:r>
      <w:r w:rsidRPr="005117FB">
        <w:rPr>
          <w:rStyle w:val="Quotationwithinthesentence"/>
          <w:i w:val="0"/>
        </w:rPr>
        <w:t xml:space="preserve"> cancelled by Oranga Tamariki shortly before it commenced.</w:t>
      </w:r>
    </w:p>
    <w:p w:rsidR="003A0DB3" w:rsidRPr="005117FB" w:rsidRDefault="003A0DB3" w:rsidP="003A0DB3">
      <w:pPr>
        <w:pStyle w:val="Number1"/>
        <w:rPr>
          <w:rStyle w:val="Quotationwithinthesentence"/>
          <w:i w:val="0"/>
        </w:rPr>
      </w:pPr>
      <w:r w:rsidRPr="005117FB">
        <w:rPr>
          <w:rStyle w:val="Quotationwithinthesentence"/>
          <w:i w:val="0"/>
        </w:rPr>
        <w:t xml:space="preserve">I wrote to Oranga Tamariki on 4 August 2022, providing an extension to 10 August 2022 for its response to my provisional opinion. </w:t>
      </w:r>
    </w:p>
    <w:p w:rsidR="003A0DB3" w:rsidRPr="005117FB" w:rsidRDefault="003A0DB3" w:rsidP="003A0DB3">
      <w:pPr>
        <w:pStyle w:val="Number1"/>
        <w:rPr>
          <w:rStyle w:val="Quotationwithinthesentence"/>
          <w:i w:val="0"/>
        </w:rPr>
      </w:pPr>
      <w:r w:rsidRPr="005117FB">
        <w:rPr>
          <w:rStyle w:val="Quotationwithinthesentence"/>
          <w:i w:val="0"/>
        </w:rPr>
        <w:t xml:space="preserve">Oranga Tamariki wrote to me on 12 August 2022 seeking more time to respond to my provisional opinion, pending completion of the </w:t>
      </w:r>
      <w:r>
        <w:rPr>
          <w:rStyle w:val="Quotationwithinthesentence"/>
          <w:i w:val="0"/>
        </w:rPr>
        <w:t>p</w:t>
      </w:r>
      <w:r w:rsidRPr="005117FB">
        <w:rPr>
          <w:rStyle w:val="Quotationwithinthesentence"/>
          <w:i w:val="0"/>
        </w:rPr>
        <w:t xml:space="preserve">ractice </w:t>
      </w:r>
      <w:r>
        <w:rPr>
          <w:rStyle w:val="Quotationwithinthesentence"/>
          <w:i w:val="0"/>
        </w:rPr>
        <w:t>r</w:t>
      </w:r>
      <w:r w:rsidRPr="005117FB">
        <w:rPr>
          <w:rStyle w:val="Quotationwithinthesentence"/>
          <w:i w:val="0"/>
        </w:rPr>
        <w:t xml:space="preserve">eview.  </w:t>
      </w:r>
    </w:p>
    <w:p w:rsidR="003A0DB3" w:rsidRPr="005117FB" w:rsidRDefault="003A0DB3" w:rsidP="003A0DB3">
      <w:pPr>
        <w:pStyle w:val="Number1"/>
        <w:rPr>
          <w:rStyle w:val="Quotationwithinthesentence"/>
          <w:i w:val="0"/>
        </w:rPr>
      </w:pPr>
      <w:r w:rsidRPr="005117FB">
        <w:rPr>
          <w:rStyle w:val="Quotationwithinthesentence"/>
          <w:i w:val="0"/>
        </w:rPr>
        <w:t xml:space="preserve">I wrote to Oranga Tamariki on 17 August 2022 advising that after careful consideration of the request for more time, I </w:t>
      </w:r>
      <w:r>
        <w:rPr>
          <w:rStyle w:val="Quotationwithinthesentence"/>
          <w:i w:val="0"/>
        </w:rPr>
        <w:t>was not prepared to</w:t>
      </w:r>
      <w:r w:rsidRPr="005117FB">
        <w:rPr>
          <w:rStyle w:val="Quotationwithinthesentence"/>
          <w:i w:val="0"/>
        </w:rPr>
        <w:t xml:space="preserve"> delay my investigation. I further offered an opportunity for Oranga Tamariki to make comment by 31 August 2022, in particular on the facts considered, my analysis, and feedback on my proposed recommendations. </w:t>
      </w:r>
    </w:p>
    <w:p w:rsidR="003A0DB3" w:rsidRDefault="003A0DB3" w:rsidP="00B045BD">
      <w:pPr>
        <w:pStyle w:val="Number1"/>
        <w:spacing w:after="120"/>
        <w:rPr>
          <w:rStyle w:val="Quotationwithinthesentence"/>
          <w:i w:val="0"/>
        </w:rPr>
      </w:pPr>
      <w:r w:rsidRPr="00282478">
        <w:rPr>
          <w:rStyle w:val="Quotationwithinthesentence"/>
          <w:i w:val="0"/>
        </w:rPr>
        <w:t>On 31 August 2022 Oranga Tama</w:t>
      </w:r>
      <w:r w:rsidR="00282478" w:rsidRPr="00282478">
        <w:rPr>
          <w:rStyle w:val="Quotationwithinthesentence"/>
          <w:i w:val="0"/>
        </w:rPr>
        <w:t>riki responded to my request</w:t>
      </w:r>
      <w:r w:rsidR="00282478">
        <w:rPr>
          <w:rStyle w:val="Quotationwithinthesentence"/>
          <w:i w:val="0"/>
        </w:rPr>
        <w:t>,</w:t>
      </w:r>
      <w:r w:rsidR="00282478" w:rsidRPr="00282478">
        <w:rPr>
          <w:rStyle w:val="Quotationwithinthesentence"/>
          <w:i w:val="0"/>
        </w:rPr>
        <w:t xml:space="preserve"> and </w:t>
      </w:r>
      <w:r w:rsidR="00282478">
        <w:rPr>
          <w:rStyle w:val="Quotationwithinthesentence"/>
          <w:i w:val="0"/>
        </w:rPr>
        <w:t xml:space="preserve">while detailed comment was not made Oranga Tamariki </w:t>
      </w:r>
      <w:r w:rsidR="00282478" w:rsidRPr="00282478">
        <w:rPr>
          <w:rStyle w:val="Quotationwithinthesentence"/>
          <w:i w:val="0"/>
        </w:rPr>
        <w:t>a</w:t>
      </w:r>
      <w:r w:rsidRPr="00282478">
        <w:rPr>
          <w:rStyle w:val="Quotationwithinthesentence"/>
          <w:i w:val="0"/>
        </w:rPr>
        <w:t xml:space="preserve">greed to provide me a copy of the practice review upon completion. </w:t>
      </w:r>
      <w:r w:rsidR="00282478">
        <w:rPr>
          <w:rStyle w:val="Quotationwithinthesentence"/>
          <w:i w:val="0"/>
        </w:rPr>
        <w:t xml:space="preserve">In relation to my proposal for apologies, Oranga Tamariki stated: </w:t>
      </w:r>
    </w:p>
    <w:p w:rsidR="00282478" w:rsidRPr="00B045BD" w:rsidRDefault="00282478" w:rsidP="00B045BD">
      <w:pPr>
        <w:pStyle w:val="Quotationseparateparagraph"/>
        <w:ind w:left="1134"/>
      </w:pPr>
      <w:r w:rsidRPr="00B045BD">
        <w:t>If the Practice Review identifies failings, then I will apologise to [Malachi’s cousin] and her whānau. Should an apology be considered an appropriate next step, we will look into the findings of the Practice Review and your investigation to help frame our apology to ensure it is accurate and sufficient…</w:t>
      </w:r>
    </w:p>
    <w:p w:rsidR="00282478" w:rsidRPr="00B045BD" w:rsidRDefault="00282478" w:rsidP="00B045BD">
      <w:pPr>
        <w:pStyle w:val="Quotationseparateparagraph"/>
        <w:ind w:left="1134"/>
        <w:rPr>
          <w:rStyle w:val="Quotationwithinthesentence"/>
          <w:i/>
        </w:rPr>
      </w:pPr>
      <w:r w:rsidRPr="00B045BD">
        <w:t>As above, I am open and willing to provide an apology to [Malachi’s uncle] where it is supported by the Practice Review.</w:t>
      </w:r>
    </w:p>
    <w:p w:rsidR="003A0DB3" w:rsidRDefault="003A0DB3" w:rsidP="003A0DB3">
      <w:pPr>
        <w:pStyle w:val="Number1"/>
        <w:numPr>
          <w:ilvl w:val="0"/>
          <w:numId w:val="31"/>
        </w:numPr>
      </w:pPr>
      <w:r>
        <w:t xml:space="preserve">My statutory </w:t>
      </w:r>
      <w:r w:rsidRPr="004843DB">
        <w:rPr>
          <w:rStyle w:val="Quotationwithinthesentence"/>
          <w:i w:val="0"/>
        </w:rPr>
        <w:t>task</w:t>
      </w:r>
      <w:r>
        <w:t xml:space="preserve"> under the Ombudsmen Act is to give an opinion on the facts as they present to me. I am required to provide Oranga Tamariki an opportunity to be heard before I form a final opinion, and that opportunity was provided.  </w:t>
      </w:r>
    </w:p>
    <w:p w:rsidR="003A0DB3" w:rsidRDefault="003A0DB3" w:rsidP="003A0DB3">
      <w:pPr>
        <w:pStyle w:val="Number1"/>
        <w:numPr>
          <w:ilvl w:val="0"/>
          <w:numId w:val="31"/>
        </w:numPr>
        <w:rPr>
          <w:rStyle w:val="Quotationwithinthesentence"/>
          <w:i w:val="0"/>
        </w:rPr>
      </w:pPr>
      <w:r>
        <w:rPr>
          <w:rStyle w:val="Quotationwithinthesentence"/>
          <w:i w:val="0"/>
        </w:rPr>
        <w:t xml:space="preserve">On 8 September 2022 I formed my final opinion on the complaints and provided that to Oranga Tamariki with recommendations. </w:t>
      </w:r>
    </w:p>
    <w:p w:rsidR="003A0DB3" w:rsidRDefault="003A0DB3" w:rsidP="003A0DB3">
      <w:pPr>
        <w:pStyle w:val="Number1"/>
        <w:numPr>
          <w:ilvl w:val="0"/>
          <w:numId w:val="31"/>
        </w:numPr>
        <w:rPr>
          <w:rStyle w:val="Quotationwithinthesentence"/>
          <w:i w:val="0"/>
        </w:rPr>
      </w:pPr>
      <w:r>
        <w:rPr>
          <w:rStyle w:val="Quotationwithinthesentence"/>
          <w:i w:val="0"/>
        </w:rPr>
        <w:t>I subsequently met with Malachi’s uncle and cousin on 20 September 2022 to advise them of my final opinion and recommendations. They advised that while they believed apologies were warranted, they wanted this to occur at a time when Oranga Tamariki was ready to engage.</w:t>
      </w:r>
    </w:p>
    <w:p w:rsidR="003A0DB3" w:rsidRDefault="003A0DB3" w:rsidP="003A0DB3">
      <w:pPr>
        <w:pStyle w:val="Number1"/>
        <w:numPr>
          <w:ilvl w:val="0"/>
          <w:numId w:val="31"/>
        </w:numPr>
        <w:rPr>
          <w:rStyle w:val="Quotationwithinthesentence"/>
          <w:i w:val="0"/>
        </w:rPr>
      </w:pPr>
      <w:r>
        <w:rPr>
          <w:rStyle w:val="Quotationwithinthesentence"/>
          <w:i w:val="0"/>
        </w:rPr>
        <w:t xml:space="preserve">Oranga Tamariki met with my staff on 28 September 2022 to provide an update on progress with the practice review.  </w:t>
      </w:r>
    </w:p>
    <w:p w:rsidR="003A0DB3" w:rsidRDefault="003A0DB3" w:rsidP="003A0DB3">
      <w:pPr>
        <w:pStyle w:val="Number1"/>
        <w:numPr>
          <w:ilvl w:val="0"/>
          <w:numId w:val="31"/>
        </w:numPr>
        <w:rPr>
          <w:rStyle w:val="Quotationwithinthesentence"/>
          <w:i w:val="0"/>
        </w:rPr>
      </w:pPr>
      <w:r>
        <w:rPr>
          <w:rStyle w:val="Quotationwithinthesentence"/>
          <w:i w:val="0"/>
        </w:rPr>
        <w:t xml:space="preserve">I decided to adjust my recommendations and communicated my revised recommendations to Oranga Tamariki and the complainants on </w:t>
      </w:r>
      <w:r w:rsidRPr="009247D3">
        <w:rPr>
          <w:rStyle w:val="Quotationwithinthesentence"/>
          <w:i w:val="0"/>
        </w:rPr>
        <w:t>29 September 2022</w:t>
      </w:r>
      <w:r>
        <w:rPr>
          <w:rStyle w:val="Quotationwithinthesentence"/>
          <w:i w:val="0"/>
        </w:rPr>
        <w:t xml:space="preserve">. </w:t>
      </w:r>
    </w:p>
    <w:p w:rsidR="00B045BD" w:rsidRPr="00B66C0D" w:rsidRDefault="00B045BD" w:rsidP="003A0DB3">
      <w:pPr>
        <w:pStyle w:val="Number1"/>
        <w:numPr>
          <w:ilvl w:val="0"/>
          <w:numId w:val="31"/>
        </w:numPr>
        <w:rPr>
          <w:rStyle w:val="Quotationwithinthesentence"/>
          <w:i w:val="0"/>
        </w:rPr>
      </w:pPr>
      <w:r>
        <w:rPr>
          <w:rStyle w:val="Quotationwithinthesentence"/>
          <w:i w:val="0"/>
        </w:rPr>
        <w:t>On 3 October 2022, Oranga Tamariki advised me it had accepted my recommendations.</w:t>
      </w:r>
    </w:p>
    <w:p w:rsidR="003A0DB3" w:rsidRDefault="003A0DB3" w:rsidP="003A0DB3">
      <w:pPr>
        <w:pStyle w:val="Heading1"/>
        <w:numPr>
          <w:ilvl w:val="0"/>
          <w:numId w:val="32"/>
        </w:numPr>
      </w:pPr>
      <w:bookmarkStart w:id="6" w:name="_Toc115786616"/>
      <w:r>
        <w:rPr>
          <w:rFonts w:eastAsia="Times New Roman"/>
        </w:rPr>
        <w:t>Analysis</w:t>
      </w:r>
      <w:bookmarkEnd w:id="6"/>
    </w:p>
    <w:p w:rsidR="003A0DB3" w:rsidRDefault="003A0DB3" w:rsidP="003A0DB3">
      <w:pPr>
        <w:pStyle w:val="Heading2"/>
        <w:numPr>
          <w:ilvl w:val="1"/>
          <w:numId w:val="32"/>
        </w:numPr>
      </w:pPr>
      <w:bookmarkStart w:id="7" w:name="_Toc115786617"/>
      <w:r>
        <w:t>Action taken on the report of concern</w:t>
      </w:r>
      <w:bookmarkEnd w:id="7"/>
    </w:p>
    <w:p w:rsidR="003A0DB3" w:rsidRDefault="003A0DB3" w:rsidP="003A0DB3">
      <w:pPr>
        <w:pStyle w:val="Number1"/>
        <w:numPr>
          <w:ilvl w:val="0"/>
          <w:numId w:val="31"/>
        </w:numPr>
      </w:pPr>
      <w:r>
        <w:t>Oranga Tamariki did not conduct an investigation into the report of concern made by Malachi’s cousin, after completing its intake and assessment process. When a report of concern is received under section 15 of the Oranga Tamariki Act 1989, section 17(1)(a)</w:t>
      </w:r>
      <w:r>
        <w:rPr>
          <w:rStyle w:val="FootnoteReference"/>
        </w:rPr>
        <w:footnoteReference w:id="2"/>
      </w:r>
      <w:r>
        <w:t xml:space="preserve"> of that Act requires Oranga Tamariki to commence an investigation, ‘</w:t>
      </w:r>
      <w:r>
        <w:rPr>
          <w:rStyle w:val="Quotationwithinthesentence"/>
        </w:rPr>
        <w:t>if it appears that an investigation is necessary or desirable’.</w:t>
      </w:r>
      <w:r>
        <w:t xml:space="preserve"> If investigating, Oranga Tamariki must ‘</w:t>
      </w:r>
      <w:r>
        <w:rPr>
          <w:rStyle w:val="Quotationwithinthesentence"/>
        </w:rPr>
        <w:t xml:space="preserve">…arrange for an investigation to be commenced into the matters contained in the report to the extent that an investigation is necessary or desirable’. </w:t>
      </w:r>
      <w:r w:rsidRPr="005117FB">
        <w:rPr>
          <w:rStyle w:val="BodyTextChar"/>
        </w:rPr>
        <w:t>It is my view that Oranga Tamariki omitted to do all that was necessary and desirable</w:t>
      </w:r>
      <w:r>
        <w:rPr>
          <w:rStyle w:val="BodyTextChar"/>
        </w:rPr>
        <w:t>. It reached the wrong conclusion</w:t>
      </w:r>
      <w:r w:rsidRPr="005117FB">
        <w:rPr>
          <w:rStyle w:val="BodyTextChar"/>
        </w:rPr>
        <w:t xml:space="preserve"> </w:t>
      </w:r>
      <w:r>
        <w:rPr>
          <w:rStyle w:val="BodyTextChar"/>
        </w:rPr>
        <w:t>in its intake and assessment process, and should have taken action to i</w:t>
      </w:r>
      <w:r w:rsidRPr="005117FB">
        <w:rPr>
          <w:rStyle w:val="BodyTextChar"/>
        </w:rPr>
        <w:t>nvestigate the report of concern</w:t>
      </w:r>
      <w:r>
        <w:rPr>
          <w:rStyle w:val="BodyTextChar"/>
        </w:rPr>
        <w:t xml:space="preserve">. In my opinion this omission was </w:t>
      </w:r>
      <w:r w:rsidRPr="005117FB">
        <w:rPr>
          <w:rStyle w:val="BodyTextChar"/>
        </w:rPr>
        <w:t>unreasonabl</w:t>
      </w:r>
      <w:r>
        <w:rPr>
          <w:rStyle w:val="BodyTextChar"/>
        </w:rPr>
        <w:t>e.</w:t>
      </w:r>
      <w:r w:rsidRPr="005117FB">
        <w:rPr>
          <w:rStyle w:val="BodyTextChar"/>
        </w:rPr>
        <w:t xml:space="preserve"> I will explore this in further detail below.</w:t>
      </w:r>
      <w:r>
        <w:rPr>
          <w:rStyle w:val="Quotationwithinthesentence"/>
        </w:rPr>
        <w:t xml:space="preserve"> </w:t>
      </w:r>
    </w:p>
    <w:p w:rsidR="003A0DB3" w:rsidRDefault="003A0DB3" w:rsidP="003A0DB3">
      <w:pPr>
        <w:pStyle w:val="Number1"/>
        <w:numPr>
          <w:ilvl w:val="0"/>
          <w:numId w:val="31"/>
        </w:numPr>
      </w:pPr>
      <w:r>
        <w:t>CYRAS</w:t>
      </w:r>
      <w:r>
        <w:rPr>
          <w:rStyle w:val="FootnoteReference"/>
        </w:rPr>
        <w:footnoteReference w:id="3"/>
      </w:r>
      <w:r>
        <w:t xml:space="preserve"> records indicate that following the receipt of the report of concern on 22 June 2021, a child and family assessment</w:t>
      </w:r>
      <w:r>
        <w:rPr>
          <w:rStyle w:val="FootnoteReference"/>
        </w:rPr>
        <w:footnoteReference w:id="4"/>
      </w:r>
      <w:r>
        <w:t xml:space="preserve"> (CFA) was to have been undertaken by Oranga Tamariki. While the need for a CFA was flagged before the full intake and assessment process had occurred, a CFA is deemed appropriate if te tamaiti (the child) is at risk of harm or neglect. A safety and risk screen</w:t>
      </w:r>
      <w:r>
        <w:rPr>
          <w:rStyle w:val="FootnoteReference"/>
        </w:rPr>
        <w:footnoteReference w:id="5"/>
      </w:r>
      <w:r>
        <w:t xml:space="preserve"> (the screen) should be completed after the CFA. The screen identifies if there are concerns that warrant immediate action by Oranga Tamariki to secure the safety of te tamaiti. Neither the CFA, nor the screen appear to have taken place. There is no mention of the CFA in the pathway rationale</w:t>
      </w:r>
      <w:r>
        <w:rPr>
          <w:rStyle w:val="FootnoteReference"/>
        </w:rPr>
        <w:footnoteReference w:id="6"/>
      </w:r>
      <w:r>
        <w:t xml:space="preserve"> referenced further below. </w:t>
      </w:r>
    </w:p>
    <w:p w:rsidR="003A0DB3" w:rsidRDefault="003A0DB3" w:rsidP="003A0DB3">
      <w:pPr>
        <w:pStyle w:val="Number1"/>
        <w:numPr>
          <w:ilvl w:val="0"/>
          <w:numId w:val="31"/>
        </w:numPr>
      </w:pPr>
      <w:r>
        <w:t>On 28 June 2021 Oranga Tamariki spoke with Malachi’s cousin; she had a photo of Malachi with a suspected bruised eye, which she emailed to Oranga Tamariki following the call. The photograph was received by the relevant Oranga Tamariki site on 28 June 2021. On 6 July 2021, the photograph was recorded in CYRAS as a case note against the 22 June 202</w:t>
      </w:r>
      <w:r w:rsidR="00176743">
        <w:t>1</w:t>
      </w:r>
      <w:r>
        <w:t xml:space="preserve"> report of concern. </w:t>
      </w:r>
    </w:p>
    <w:p w:rsidR="003A0DB3" w:rsidRDefault="003A0DB3" w:rsidP="003A0DB3">
      <w:pPr>
        <w:pStyle w:val="Number1"/>
        <w:numPr>
          <w:ilvl w:val="0"/>
          <w:numId w:val="31"/>
        </w:numPr>
      </w:pPr>
      <w:r>
        <w:t xml:space="preserve">When considering a report of concern, Oranga Tamariki must adhere to its obligations under the Child Protection Protocol (CPP). Concerns which meet the CPP cannot be deemed to require no further action unless consultation has occurred with NZ Police. Oranga Tamariki did not consult with Police in response to suspected bruising around Malachi’s eye. The CPP 2016 which applied at the time stated </w:t>
      </w:r>
      <w:r>
        <w:rPr>
          <w:rStyle w:val="Quotationwithinthesentence"/>
        </w:rPr>
        <w:t>“The CPP is the joint process that is followed when [Oranga Tamariki] and Police are responding to actions or behaviour that may constitute a criminal offence”</w:t>
      </w:r>
      <w:r>
        <w:t>. Any single injury such as bruising (if the positioning makes it unlikely to be caused by play or accident) will meet the threshold for referral to NZ Police as a CPP case. There is no record that Oranga Tamariki considered its obligations under the CPP at any stage, nor record of consideration of the suspected bruising.</w:t>
      </w:r>
    </w:p>
    <w:p w:rsidR="003A0DB3" w:rsidRDefault="003A0DB3" w:rsidP="003A0DB3">
      <w:pPr>
        <w:pStyle w:val="Number1"/>
        <w:numPr>
          <w:ilvl w:val="0"/>
          <w:numId w:val="31"/>
        </w:numPr>
      </w:pPr>
      <w:r>
        <w:t>On 29 June 2021 Oranga Tamariki completed a pathway rationale record in which a decision was recorded to take no further action on the report of concern. Information considered as part of the pathway rationale included:</w:t>
      </w:r>
    </w:p>
    <w:p w:rsidR="003A0DB3" w:rsidRDefault="003A0DB3" w:rsidP="003A0DB3">
      <w:pPr>
        <w:pStyle w:val="Number2"/>
        <w:numPr>
          <w:ilvl w:val="1"/>
          <w:numId w:val="31"/>
        </w:numPr>
      </w:pPr>
      <w:r>
        <w:t>Comments from Malachi’s mother, which Oranga Tamariki had obtained.</w:t>
      </w:r>
    </w:p>
    <w:p w:rsidR="003A0DB3" w:rsidRDefault="003A0DB3" w:rsidP="003A0DB3">
      <w:pPr>
        <w:pStyle w:val="Number2"/>
        <w:numPr>
          <w:ilvl w:val="1"/>
          <w:numId w:val="31"/>
        </w:numPr>
      </w:pPr>
      <w:r>
        <w:t>Concerns raised by Malachi’s cousin:</w:t>
      </w:r>
    </w:p>
    <w:p w:rsidR="003A0DB3" w:rsidRDefault="003A0DB3" w:rsidP="003A0DB3">
      <w:pPr>
        <w:pStyle w:val="Number3"/>
        <w:numPr>
          <w:ilvl w:val="2"/>
          <w:numId w:val="31"/>
        </w:numPr>
      </w:pPr>
      <w:r>
        <w:t>There was a non-association order between Malachi’s mother and the caregiver’s mother. Malachi’s cousin was concerned Malachi may be used as a blackmail tool to prevent Malachi’s mother giving evidence against the caregiver’s mother, and therefore at risk of harm.</w:t>
      </w:r>
    </w:p>
    <w:p w:rsidR="003A0DB3" w:rsidRDefault="003A0DB3" w:rsidP="003A0DB3">
      <w:pPr>
        <w:pStyle w:val="Number3"/>
        <w:numPr>
          <w:ilvl w:val="2"/>
          <w:numId w:val="31"/>
        </w:numPr>
      </w:pPr>
      <w:r>
        <w:t>Malachi was not taken to a follow-up medical appointment while with the caregiver.</w:t>
      </w:r>
    </w:p>
    <w:p w:rsidR="003A0DB3" w:rsidRDefault="003A0DB3" w:rsidP="003A0DB3">
      <w:pPr>
        <w:pStyle w:val="Number3"/>
        <w:numPr>
          <w:ilvl w:val="2"/>
          <w:numId w:val="31"/>
        </w:numPr>
      </w:pPr>
      <w:r>
        <w:t xml:space="preserve">The whānau suspect Malachi had autism, but were concerned there had been no follow-up. </w:t>
      </w:r>
    </w:p>
    <w:p w:rsidR="003A0DB3" w:rsidRDefault="003A0DB3" w:rsidP="003A0DB3">
      <w:pPr>
        <w:pStyle w:val="Number3"/>
        <w:numPr>
          <w:ilvl w:val="2"/>
          <w:numId w:val="31"/>
        </w:numPr>
      </w:pPr>
      <w:r>
        <w:t xml:space="preserve">Malachi lacked communication skills. </w:t>
      </w:r>
    </w:p>
    <w:p w:rsidR="003A0DB3" w:rsidRDefault="003A0DB3" w:rsidP="003A0DB3">
      <w:pPr>
        <w:pStyle w:val="Number1"/>
        <w:numPr>
          <w:ilvl w:val="0"/>
          <w:numId w:val="31"/>
        </w:numPr>
      </w:pPr>
      <w:r>
        <w:t xml:space="preserve">It is of concern to me that the photograph of Malachi was not mentioned in the pathway rationale. </w:t>
      </w:r>
    </w:p>
    <w:p w:rsidR="003A0DB3" w:rsidRDefault="003A0DB3" w:rsidP="003A0DB3">
      <w:pPr>
        <w:pStyle w:val="Number1"/>
        <w:numPr>
          <w:ilvl w:val="0"/>
          <w:numId w:val="31"/>
        </w:numPr>
        <w:rPr>
          <w:rStyle w:val="Quotationwithinthesentence"/>
          <w:i w:val="0"/>
        </w:rPr>
      </w:pPr>
      <w:r>
        <w:t xml:space="preserve">The rationale used to take no further action was that </w:t>
      </w:r>
      <w:r>
        <w:rPr>
          <w:rStyle w:val="Quotationwithinthesentence"/>
        </w:rPr>
        <w:t>“…there is nothing to say that Malachi is unsafe with [the caregiver]. [The mother] has made her decision about who she will support to look after her child. As such, there are currently no care and protection concerns…”</w:t>
      </w:r>
    </w:p>
    <w:p w:rsidR="003A0DB3" w:rsidRDefault="003A0DB3" w:rsidP="003A0DB3">
      <w:pPr>
        <w:pStyle w:val="Number1"/>
        <w:numPr>
          <w:ilvl w:val="0"/>
          <w:numId w:val="31"/>
        </w:numPr>
        <w:rPr>
          <w:color w:val="auto"/>
        </w:rPr>
      </w:pPr>
      <w:r>
        <w:rPr>
          <w:color w:val="auto"/>
        </w:rPr>
        <w:t>In considering the purpose, principles and general duties within the Oranga Tamariki Act 1989, I consider that Oranga Tamariki was wrong in taking no further action.</w:t>
      </w:r>
      <w:r>
        <w:rPr>
          <w:i/>
          <w:color w:val="auto"/>
        </w:rPr>
        <w:t xml:space="preserve"> </w:t>
      </w:r>
      <w:r>
        <w:rPr>
          <w:color w:val="auto"/>
        </w:rPr>
        <w:t>T</w:t>
      </w:r>
      <w:r w:rsidRPr="005117FB">
        <w:rPr>
          <w:rStyle w:val="BodyTextChar"/>
        </w:rPr>
        <w:t xml:space="preserve">he circumstances surrounding </w:t>
      </w:r>
      <w:r>
        <w:rPr>
          <w:rStyle w:val="BodyTextChar"/>
        </w:rPr>
        <w:t>the</w:t>
      </w:r>
      <w:r w:rsidRPr="005117FB">
        <w:rPr>
          <w:rStyle w:val="BodyTextChar"/>
        </w:rPr>
        <w:t xml:space="preserve"> report of concern should have triggered investigation under section </w:t>
      </w:r>
      <w:r>
        <w:t>17(1)(a).</w:t>
      </w:r>
      <w:r>
        <w:rPr>
          <w:rStyle w:val="FootnoteReference"/>
        </w:rPr>
        <w:footnoteReference w:id="7"/>
      </w:r>
      <w:r>
        <w:rPr>
          <w:rStyle w:val="Quotationwithinthesentence"/>
        </w:rPr>
        <w:t xml:space="preserve"> </w:t>
      </w:r>
      <w:r>
        <w:rPr>
          <w:color w:val="auto"/>
        </w:rPr>
        <w:t xml:space="preserve">Sections </w:t>
      </w:r>
      <w:r>
        <w:t xml:space="preserve"> </w:t>
      </w:r>
      <w:r>
        <w:rPr>
          <w:color w:val="auto"/>
        </w:rPr>
        <w:t>4A(1),</w:t>
      </w:r>
      <w:r>
        <w:rPr>
          <w:rStyle w:val="FootnoteReference"/>
          <w:color w:val="auto"/>
        </w:rPr>
        <w:footnoteReference w:id="8"/>
      </w:r>
      <w:r>
        <w:rPr>
          <w:color w:val="auto"/>
        </w:rPr>
        <w:t xml:space="preserve"> </w:t>
      </w:r>
      <w:r>
        <w:t>5(1)(a),</w:t>
      </w:r>
      <w:r>
        <w:rPr>
          <w:rStyle w:val="FootnoteReference"/>
          <w:color w:val="auto"/>
        </w:rPr>
        <w:footnoteReference w:id="9"/>
      </w:r>
      <w:r>
        <w:t xml:space="preserve"> 5(1)(b)(i), 5(1)(b)(iii), 5(1)(b)(vi), 5(1)(b)(vii), 5(1)(b)(viii)</w:t>
      </w:r>
      <w:r>
        <w:rPr>
          <w:color w:val="auto"/>
        </w:rPr>
        <w:t xml:space="preserve"> and 11,</w:t>
      </w:r>
      <w:r>
        <w:rPr>
          <w:rStyle w:val="FootnoteReference"/>
          <w:color w:val="auto"/>
        </w:rPr>
        <w:footnoteReference w:id="10"/>
      </w:r>
      <w:r>
        <w:rPr>
          <w:color w:val="auto"/>
        </w:rPr>
        <w:t xml:space="preserve"> set out expectations to ensure that the welfare and interests of a child is a paramount, and that a child be encouraged and supported to participate and express their views. </w:t>
      </w:r>
    </w:p>
    <w:p w:rsidR="003A0DB3" w:rsidRDefault="003A0DB3" w:rsidP="003A0DB3">
      <w:pPr>
        <w:pStyle w:val="Number1"/>
        <w:numPr>
          <w:ilvl w:val="0"/>
          <w:numId w:val="31"/>
        </w:numPr>
      </w:pPr>
      <w:r>
        <w:t>Oranga Tamariki omitted to meet or speak with Malachi in order to ascertain whether he was safe with the caregiver, or indeed whether he wished to remain in her care. There is no evidence that Oranga Tamariki had considered engaging with Malachi, nor had it otherwise considered conducting a safety check of the caregiver’s home. At the time the report of concern was made, Malachi was 4 years old. It is of particular concern that given his age and the concerns raised about his developmental delay and suspected autism, the vulnerable infant and disability practice triggers</w:t>
      </w:r>
      <w:r>
        <w:rPr>
          <w:rStyle w:val="FootnoteReference"/>
        </w:rPr>
        <w:footnoteReference w:id="11"/>
      </w:r>
      <w:r>
        <w:t xml:space="preserve"> did not appear to have prompted further action from Oranga Tamariki.   </w:t>
      </w:r>
    </w:p>
    <w:p w:rsidR="003A0DB3" w:rsidRDefault="003A0DB3" w:rsidP="003A0DB3">
      <w:pPr>
        <w:pStyle w:val="Number1"/>
        <w:numPr>
          <w:ilvl w:val="0"/>
          <w:numId w:val="31"/>
        </w:numPr>
      </w:pPr>
      <w:r>
        <w:t xml:space="preserve">As recognised in the Oranga Tamariki Act 1989 (referred to above in paragraph 36), the well-being of a child must be at the centre of decision-making that affects that child. The pathway rationale noted Malachi’s needs which included knowing and being cared for by safe family, and protection from being used as a blackmail tool between his mother and the caregiver’s mother. </w:t>
      </w:r>
      <w:r w:rsidRPr="005117FB">
        <w:rPr>
          <w:rStyle w:val="BodyTextChar"/>
        </w:rPr>
        <w:t xml:space="preserve">Oranga Tamariki </w:t>
      </w:r>
      <w:r>
        <w:rPr>
          <w:rStyle w:val="BodyTextChar"/>
        </w:rPr>
        <w:t>did not</w:t>
      </w:r>
      <w:r w:rsidRPr="005117FB">
        <w:rPr>
          <w:rStyle w:val="BodyTextChar"/>
        </w:rPr>
        <w:t xml:space="preserve"> appear to have assessed how Malachi’s needs might be met </w:t>
      </w:r>
      <w:r>
        <w:rPr>
          <w:rStyle w:val="BodyTextChar"/>
        </w:rPr>
        <w:t>by the caregiver</w:t>
      </w:r>
      <w:r w:rsidRPr="005117FB">
        <w:rPr>
          <w:rStyle w:val="BodyTextChar"/>
        </w:rPr>
        <w:t xml:space="preserve">, nor had it contacted </w:t>
      </w:r>
      <w:r>
        <w:rPr>
          <w:rStyle w:val="BodyTextChar"/>
        </w:rPr>
        <w:t>the caregiver</w:t>
      </w:r>
      <w:r w:rsidRPr="005117FB">
        <w:rPr>
          <w:rStyle w:val="BodyTextChar"/>
        </w:rPr>
        <w:t xml:space="preserve"> to ascertain whether she was able to meet Malachi’s needs.</w:t>
      </w:r>
      <w:r>
        <w:rPr>
          <w:rStyle w:val="Quotationwithinthesentence"/>
        </w:rPr>
        <w:t xml:space="preserve"> </w:t>
      </w:r>
      <w:r>
        <w:t xml:space="preserve">It is apparent from the pathway rationale that Malachi’s welfare and interests were not prioritised; they were instead wrongly assumed to be addressed or overridden by his mother’s endorsement of the caregiver, in spite of evidence that he may not be safe.  </w:t>
      </w:r>
    </w:p>
    <w:p w:rsidR="003A0DB3" w:rsidRDefault="003A0DB3" w:rsidP="003A0DB3">
      <w:pPr>
        <w:pStyle w:val="Heading3"/>
        <w:numPr>
          <w:ilvl w:val="2"/>
          <w:numId w:val="32"/>
        </w:numPr>
      </w:pPr>
      <w:bookmarkStart w:id="8" w:name="_Toc115786618"/>
      <w:r>
        <w:t>Other matters</w:t>
      </w:r>
      <w:bookmarkEnd w:id="8"/>
    </w:p>
    <w:p w:rsidR="003A0DB3" w:rsidRDefault="003A0DB3" w:rsidP="003A0DB3">
      <w:pPr>
        <w:pStyle w:val="Number1"/>
        <w:numPr>
          <w:ilvl w:val="0"/>
          <w:numId w:val="31"/>
        </w:numPr>
      </w:pPr>
      <w:r>
        <w:t xml:space="preserve">In July 2021 Malachi’s cousin complained to Oranga Tamariki about its decision to take no further action. On 30 July 2021, in response to her complaint, Malachi’s cousin was advised that reports of concern were screened based on whether there were specific care and protection concerns. </w:t>
      </w:r>
    </w:p>
    <w:p w:rsidR="003A0DB3" w:rsidRDefault="003A0DB3" w:rsidP="003A0DB3">
      <w:pPr>
        <w:pStyle w:val="Number1"/>
        <w:numPr>
          <w:ilvl w:val="0"/>
          <w:numId w:val="31"/>
        </w:numPr>
      </w:pPr>
      <w:r>
        <w:t>It is apparent to me that Malachi’s cousin had raised specific concerns about actual and potential harm to Malachi. I consider Oranga Tamariki’s response to her complaint was inadequate; particularly as any person who has concerns about a child’s safety and wellbeing, whether due to actual events or potential risks, may make a report of concern under section 15</w:t>
      </w:r>
      <w:r>
        <w:rPr>
          <w:rStyle w:val="FootnoteReference"/>
          <w:color w:val="auto"/>
        </w:rPr>
        <w:footnoteReference w:id="12"/>
      </w:r>
      <w:r>
        <w:t xml:space="preserve"> of the Oranga Tamariki Act 1989. </w:t>
      </w:r>
    </w:p>
    <w:p w:rsidR="003A0DB3" w:rsidRDefault="003A0DB3" w:rsidP="003A0DB3">
      <w:pPr>
        <w:pStyle w:val="Heading2"/>
        <w:numPr>
          <w:ilvl w:val="1"/>
          <w:numId w:val="32"/>
        </w:numPr>
      </w:pPr>
      <w:bookmarkStart w:id="9" w:name="_Toc115786619"/>
      <w:r>
        <w:t>Information provided to Malachi’s uncle about Oranga Tamariki’s complaints process.</w:t>
      </w:r>
      <w:bookmarkEnd w:id="9"/>
      <w:r>
        <w:t xml:space="preserve"> </w:t>
      </w:r>
    </w:p>
    <w:p w:rsidR="003A0DB3" w:rsidRDefault="003A0DB3" w:rsidP="003A0DB3">
      <w:pPr>
        <w:pStyle w:val="Number1"/>
        <w:numPr>
          <w:ilvl w:val="0"/>
          <w:numId w:val="31"/>
        </w:numPr>
      </w:pPr>
      <w:r>
        <w:t xml:space="preserve">Malachi’s uncle stated that he had called Oranga Tamariki on 2 November 2021 between 1:00pm and 3:30pm, inquiring how to make a complaint. He recalled receiving advice that there was no complaints process and that he could speak directly to the social worker concerned. </w:t>
      </w:r>
    </w:p>
    <w:p w:rsidR="003A0DB3" w:rsidRDefault="003A0DB3" w:rsidP="003A0DB3">
      <w:pPr>
        <w:pStyle w:val="Number1"/>
        <w:numPr>
          <w:ilvl w:val="0"/>
          <w:numId w:val="31"/>
        </w:numPr>
      </w:pPr>
      <w:r>
        <w:t>On 4 February 2022, Oranga Tamariki advised me:</w:t>
      </w:r>
    </w:p>
    <w:p w:rsidR="003A0DB3" w:rsidRDefault="003A0DB3" w:rsidP="003A0DB3">
      <w:pPr>
        <w:pStyle w:val="Number2"/>
        <w:numPr>
          <w:ilvl w:val="1"/>
          <w:numId w:val="31"/>
        </w:numPr>
      </w:pPr>
      <w:r>
        <w:t xml:space="preserve">That the agency does not have a record of the aforementioned call. </w:t>
      </w:r>
    </w:p>
    <w:p w:rsidR="003A0DB3" w:rsidRDefault="003A0DB3" w:rsidP="003A0DB3">
      <w:pPr>
        <w:pStyle w:val="Number2"/>
        <w:numPr>
          <w:ilvl w:val="1"/>
          <w:numId w:val="31"/>
        </w:numPr>
      </w:pPr>
      <w:r>
        <w:t xml:space="preserve">The agency does have a record of receiving a call from Malachi’s uncle at 9:49pm, where he made reference to speaking with someone earlier that day and being told there was no complaints process. It was noted that Malachi’s uncle was subsequently provided advice that there was a complaints process and he was further informed on how to complain. </w:t>
      </w:r>
    </w:p>
    <w:p w:rsidR="003A0DB3" w:rsidRDefault="003A0DB3" w:rsidP="003A0DB3">
      <w:pPr>
        <w:pStyle w:val="Number1"/>
        <w:numPr>
          <w:ilvl w:val="0"/>
          <w:numId w:val="31"/>
        </w:numPr>
      </w:pPr>
      <w:r>
        <w:t xml:space="preserve">While no record was found of the uncle’s call to Oranga Tamariki on the afternoon of 2 November 2021, Oranga Tamariki acknowledged to me </w:t>
      </w:r>
      <w:r w:rsidRPr="009247D3">
        <w:t>on</w:t>
      </w:r>
      <w:r>
        <w:t xml:space="preserve"> 4 February 2022 that the uncle was originally misinformed when he was told there was no complaints process. I therefore consider Oranga Tamariki has acted unreasonably in this respect.    </w:t>
      </w:r>
    </w:p>
    <w:p w:rsidR="003A0DB3" w:rsidRDefault="003A0DB3" w:rsidP="003A0DB3">
      <w:pPr>
        <w:pStyle w:val="Number1"/>
        <w:numPr>
          <w:ilvl w:val="0"/>
          <w:numId w:val="31"/>
        </w:numPr>
      </w:pPr>
      <w:r>
        <w:t>I am concerned about the advice and information that is made available to the public about Oranga Tamariki’s feedback and complaints process. I have reviewed the information on Oranga Tamariki’s website, and consider there are barriers to the public in accessing the feedback and complaints service. It appears the email address cited is a generic email, although I am aware that there is an intake email for that service specifically. I am further concerned that there does not appear to be a dedicated feedback and complaints number, as the number on the website is the National Contact Centre number. Further, while there is information available about how to make a complaint there is no information available to the public about the complaints process itself, nor does there appear to be any information about the complaints process on the Practice Centre</w:t>
      </w:r>
      <w:r>
        <w:rPr>
          <w:rStyle w:val="FootnoteReference"/>
        </w:rPr>
        <w:footnoteReference w:id="13"/>
      </w:r>
      <w:r>
        <w:t xml:space="preserve"> (a resource both for staff and the public to access). </w:t>
      </w:r>
    </w:p>
    <w:p w:rsidR="003A0DB3" w:rsidRDefault="003A0DB3" w:rsidP="003A0DB3">
      <w:pPr>
        <w:pStyle w:val="Heading1"/>
        <w:numPr>
          <w:ilvl w:val="0"/>
          <w:numId w:val="32"/>
        </w:numPr>
      </w:pPr>
      <w:bookmarkStart w:id="10" w:name="_Toc115786620"/>
      <w:r>
        <w:rPr>
          <w:rFonts w:eastAsia="Times New Roman"/>
        </w:rPr>
        <w:t>Chief Ombudsman’s opinion</w:t>
      </w:r>
      <w:bookmarkEnd w:id="10"/>
      <w:r>
        <w:rPr>
          <w:rFonts w:eastAsia="Times New Roman"/>
        </w:rPr>
        <w:t xml:space="preserve"> </w:t>
      </w:r>
    </w:p>
    <w:p w:rsidR="003A0DB3" w:rsidRDefault="003A0DB3" w:rsidP="003A0DB3">
      <w:pPr>
        <w:pStyle w:val="Number1"/>
        <w:numPr>
          <w:ilvl w:val="0"/>
          <w:numId w:val="31"/>
        </w:numPr>
        <w:rPr>
          <w:color w:val="auto"/>
        </w:rPr>
      </w:pPr>
      <w:r w:rsidRPr="005117FB">
        <w:rPr>
          <w:rStyle w:val="BodyTextChar"/>
        </w:rPr>
        <w:t>Oranga Tamariki has acted contrary to its own policies which require the well-being of children and their families to be central to decision</w:t>
      </w:r>
      <w:r>
        <w:rPr>
          <w:rStyle w:val="BodyTextChar"/>
        </w:rPr>
        <w:t>-</w:t>
      </w:r>
      <w:r w:rsidRPr="005117FB">
        <w:rPr>
          <w:rStyle w:val="BodyTextChar"/>
        </w:rPr>
        <w:t>making. Oranga Tamariki does not appear to have fulfilled the bare minimum of the process required to ensure Malachi’s safety.</w:t>
      </w:r>
      <w:r>
        <w:rPr>
          <w:rStyle w:val="Quotationwithinthesentence"/>
        </w:rPr>
        <w:t xml:space="preserve"> </w:t>
      </w:r>
      <w:r>
        <w:rPr>
          <w:color w:val="auto"/>
        </w:rPr>
        <w:t>For the reasons set out above I have formed the opinion that Oranga Tamariki</w:t>
      </w:r>
      <w:r>
        <w:rPr>
          <w:rFonts w:eastAsia="Calibri" w:cs="Times New Roman"/>
          <w:color w:val="auto"/>
        </w:rPr>
        <w:t xml:space="preserve"> </w:t>
      </w:r>
      <w:r>
        <w:rPr>
          <w:rStyle w:val="Bluetext"/>
          <w:color w:val="auto"/>
        </w:rPr>
        <w:t>has acted unreasonably and wrongly in addressing the report of concern made by Malachi’s cousin</w:t>
      </w:r>
      <w:r>
        <w:rPr>
          <w:color w:val="auto"/>
        </w:rPr>
        <w:t>.</w:t>
      </w:r>
    </w:p>
    <w:p w:rsidR="003A0DB3" w:rsidRDefault="003A0DB3" w:rsidP="003A0DB3">
      <w:pPr>
        <w:pStyle w:val="Number1"/>
        <w:numPr>
          <w:ilvl w:val="0"/>
          <w:numId w:val="31"/>
        </w:numPr>
        <w:rPr>
          <w:color w:val="auto"/>
        </w:rPr>
      </w:pPr>
      <w:r>
        <w:rPr>
          <w:color w:val="auto"/>
        </w:rPr>
        <w:t>It is also my opinion that Oranga Tamariki</w:t>
      </w:r>
      <w:r>
        <w:rPr>
          <w:rFonts w:eastAsia="Calibri" w:cs="Times New Roman"/>
          <w:color w:val="auto"/>
        </w:rPr>
        <w:t xml:space="preserve"> </w:t>
      </w:r>
      <w:r>
        <w:rPr>
          <w:rStyle w:val="Bluetext"/>
          <w:color w:val="auto"/>
        </w:rPr>
        <w:t>has acted unreasonably in providing incorrect information to Malachi’s uncle</w:t>
      </w:r>
      <w:r>
        <w:rPr>
          <w:color w:val="auto"/>
        </w:rPr>
        <w:t>.</w:t>
      </w:r>
    </w:p>
    <w:p w:rsidR="003A0DB3" w:rsidRDefault="003A0DB3" w:rsidP="003A0DB3">
      <w:pPr>
        <w:pStyle w:val="Heading1"/>
        <w:numPr>
          <w:ilvl w:val="0"/>
          <w:numId w:val="32"/>
        </w:numPr>
      </w:pPr>
      <w:bookmarkStart w:id="11" w:name="_Toc115786621"/>
      <w:r>
        <w:t>Recommendations</w:t>
      </w:r>
      <w:bookmarkEnd w:id="11"/>
    </w:p>
    <w:p w:rsidR="003A0DB3" w:rsidRDefault="003A0DB3" w:rsidP="003A0DB3">
      <w:pPr>
        <w:pStyle w:val="Number1"/>
        <w:numPr>
          <w:ilvl w:val="0"/>
          <w:numId w:val="31"/>
        </w:numPr>
      </w:pPr>
      <w:r>
        <w:t xml:space="preserve">I recommend: </w:t>
      </w:r>
    </w:p>
    <w:p w:rsidR="003A0DB3" w:rsidRDefault="003A0DB3" w:rsidP="003A0DB3">
      <w:pPr>
        <w:pStyle w:val="Number2"/>
      </w:pPr>
      <w:r>
        <w:t xml:space="preserve">Oranga Tamariki apologise to both Malachi’s uncle and cousin at a time and in a way that Malachi’s uncle and cousin have agreed. The apologies should recognise the impact of Oranga Tamariki’s actions and serve to appropriately restore Malachi’s uncle and cousin to a state of balance (ea). I refer in particular to my guidance in </w:t>
      </w:r>
      <w:hyperlink r:id="rId8" w:history="1">
        <w:r w:rsidRPr="00B06B74">
          <w:rPr>
            <w:rStyle w:val="Hyperlink"/>
          </w:rPr>
          <w:t>He rauemi tātaki ea – A resource for offering an effective apology</w:t>
        </w:r>
      </w:hyperlink>
      <w:r>
        <w:t>.</w:t>
      </w:r>
    </w:p>
    <w:p w:rsidR="003A0DB3" w:rsidRDefault="003A0DB3" w:rsidP="003A0DB3">
      <w:pPr>
        <w:pStyle w:val="Number2"/>
      </w:pPr>
      <w:r>
        <w:t xml:space="preserve">Oranga Tamariki report to me in a timely manner on its proposal for making the apologies and considers any comments I have before it proceeds.  </w:t>
      </w:r>
    </w:p>
    <w:p w:rsidR="003A0DB3" w:rsidRDefault="003A0DB3" w:rsidP="003A0DB3">
      <w:pPr>
        <w:pStyle w:val="Number2"/>
      </w:pPr>
      <w:r>
        <w:t>Oranga Tamariki provide me a copy of the practice review once it is complete, and report to me within one month of its completion about whether and how the practice review findings will influence Oranga Tamariki in terms of its policy, practice and guidance.</w:t>
      </w:r>
    </w:p>
    <w:p w:rsidR="003A0DB3" w:rsidRDefault="003A0DB3" w:rsidP="003A0DB3">
      <w:pPr>
        <w:pStyle w:val="Number2"/>
      </w:pPr>
      <w:r>
        <w:t xml:space="preserve">Oranga Tamariki report to me, within three months of the systems review, whether and how the systems review findings will influence Oranga Tamariki in terms of its policy, practice and guidance. </w:t>
      </w:r>
    </w:p>
    <w:p w:rsidR="00B045BD" w:rsidRDefault="00B045BD" w:rsidP="00B045BD">
      <w:pPr>
        <w:pStyle w:val="Number1"/>
      </w:pPr>
      <w:r>
        <w:t xml:space="preserve">Oranga Tamariki has accepted my recommendations. </w:t>
      </w:r>
    </w:p>
    <w:p w:rsidR="003A0DB3" w:rsidRDefault="003A0DB3" w:rsidP="003A0DB3">
      <w:pPr>
        <w:pStyle w:val="Number1"/>
        <w:numPr>
          <w:ilvl w:val="0"/>
          <w:numId w:val="31"/>
        </w:numPr>
      </w:pPr>
      <w:r>
        <w:t xml:space="preserve">I will consider whether any further recommendations are necessary at a later stage. </w:t>
      </w:r>
    </w:p>
    <w:p w:rsidR="003A0DB3" w:rsidRDefault="003A0DB3" w:rsidP="003A0DB3">
      <w:pPr>
        <w:pStyle w:val="HeadingAppendix"/>
      </w:pPr>
      <w:bookmarkStart w:id="12" w:name="_Toc115786622"/>
      <w:r>
        <w:t>Legislation</w:t>
      </w:r>
      <w:bookmarkEnd w:id="12"/>
    </w:p>
    <w:p w:rsidR="003A0DB3" w:rsidRDefault="003A0DB3" w:rsidP="003A0DB3">
      <w:pPr>
        <w:pStyle w:val="Heading3"/>
        <w:spacing w:before="240"/>
      </w:pPr>
      <w:bookmarkStart w:id="13" w:name="_Toc115786623"/>
      <w:r w:rsidRPr="00CE33BD">
        <w:t>Ombudsmen Act 1975</w:t>
      </w:r>
      <w:bookmarkEnd w:id="13"/>
    </w:p>
    <w:p w:rsidR="003A0DB3" w:rsidRPr="0080469B" w:rsidRDefault="003A0DB3" w:rsidP="003A0DB3">
      <w:pPr>
        <w:pStyle w:val="BQLegstyle-10"/>
        <w:rPr>
          <w:lang w:eastAsia="en-NZ"/>
        </w:rPr>
      </w:pPr>
      <w:r w:rsidRPr="0080469B">
        <w:rPr>
          <w:bdr w:val="none" w:sz="0" w:space="0" w:color="auto" w:frame="1"/>
          <w:lang w:eastAsia="en-NZ"/>
        </w:rPr>
        <w:t>13</w:t>
      </w:r>
      <w:r>
        <w:rPr>
          <w:bdr w:val="none" w:sz="0" w:space="0" w:color="auto" w:frame="1"/>
          <w:lang w:eastAsia="en-NZ"/>
        </w:rPr>
        <w:t xml:space="preserve"> </w:t>
      </w:r>
      <w:r w:rsidRPr="0080469B">
        <w:rPr>
          <w:lang w:eastAsia="en-NZ"/>
        </w:rPr>
        <w:t>Functions of Ombudsmen</w:t>
      </w:r>
    </w:p>
    <w:p w:rsidR="003A0DB3" w:rsidRPr="0080469B" w:rsidRDefault="003A0DB3" w:rsidP="003A0DB3">
      <w:pPr>
        <w:pStyle w:val="BQLegstyle-1"/>
        <w:rPr>
          <w:lang w:eastAsia="en-NZ"/>
        </w:rPr>
      </w:pPr>
      <w:r w:rsidRPr="0080469B">
        <w:rPr>
          <w:bdr w:val="none" w:sz="0" w:space="0" w:color="auto" w:frame="1"/>
          <w:lang w:eastAsia="en-NZ"/>
        </w:rPr>
        <w:t>(1)</w:t>
      </w:r>
      <w:r>
        <w:rPr>
          <w:bdr w:val="none" w:sz="0" w:space="0" w:color="auto" w:frame="1"/>
          <w:lang w:eastAsia="en-NZ"/>
        </w:rPr>
        <w:t xml:space="preserve"> </w:t>
      </w:r>
      <w:r>
        <w:rPr>
          <w:bdr w:val="none" w:sz="0" w:space="0" w:color="auto" w:frame="1"/>
          <w:lang w:eastAsia="en-NZ"/>
        </w:rPr>
        <w:tab/>
      </w:r>
      <w:r>
        <w:rPr>
          <w:lang w:eastAsia="en-NZ"/>
        </w:rPr>
        <w:t>…</w:t>
      </w:r>
      <w:r w:rsidRPr="0080469B">
        <w:rPr>
          <w:lang w:eastAsia="en-NZ"/>
        </w:rPr>
        <w:t xml:space="preserve"> it shall be a function of the Ombudsmen to investigate any decision or recommendation made, or any act done or omitted</w:t>
      </w:r>
      <w:r>
        <w:rPr>
          <w:lang w:eastAsia="en-NZ"/>
        </w:rPr>
        <w:t xml:space="preserve"> …</w:t>
      </w:r>
      <w:r w:rsidRPr="0080469B">
        <w:rPr>
          <w:lang w:eastAsia="en-NZ"/>
        </w:rPr>
        <w:t xml:space="preserve"> relating to a matter of administration and affecting any person or body of persons in </w:t>
      </w:r>
      <w:r>
        <w:rPr>
          <w:lang w:eastAsia="en-NZ"/>
        </w:rPr>
        <w:t>[their]</w:t>
      </w:r>
      <w:r w:rsidRPr="0080469B">
        <w:rPr>
          <w:lang w:eastAsia="en-NZ"/>
        </w:rPr>
        <w:t xml:space="preserve"> personal capacity, in or by any of the </w:t>
      </w:r>
      <w:r w:rsidRPr="0080469B">
        <w:rPr>
          <w:bdr w:val="none" w:sz="0" w:space="0" w:color="auto" w:frame="1"/>
          <w:lang w:eastAsia="en-NZ"/>
        </w:rPr>
        <w:t>public service agencies or organisations named in </w:t>
      </w:r>
      <w:bookmarkStart w:id="14" w:name="DLM431205"/>
      <w:r w:rsidRPr="0080469B">
        <w:rPr>
          <w:bdr w:val="none" w:sz="0" w:space="0" w:color="auto" w:frame="1"/>
          <w:lang w:eastAsia="en-NZ"/>
        </w:rPr>
        <w:fldChar w:fldCharType="begin"/>
      </w:r>
      <w:r w:rsidRPr="0080469B">
        <w:rPr>
          <w:bdr w:val="none" w:sz="0" w:space="0" w:color="auto" w:frame="1"/>
          <w:lang w:eastAsia="en-NZ"/>
        </w:rPr>
        <w:instrText xml:space="preserve"> HYPERLINK "https://www.legislation.govt.nz/act/public/1975/0009/latest/link.aspx?id=DLM431205" \l "DLM431205" </w:instrText>
      </w:r>
      <w:r w:rsidRPr="0080469B">
        <w:rPr>
          <w:bdr w:val="none" w:sz="0" w:space="0" w:color="auto" w:frame="1"/>
          <w:lang w:eastAsia="en-NZ"/>
        </w:rPr>
        <w:fldChar w:fldCharType="separate"/>
      </w:r>
      <w:r w:rsidRPr="0080469B">
        <w:rPr>
          <w:color w:val="0000FF"/>
          <w:u w:val="single"/>
          <w:bdr w:val="none" w:sz="0" w:space="0" w:color="auto" w:frame="1"/>
          <w:lang w:eastAsia="en-NZ"/>
        </w:rPr>
        <w:t>Parts 1 to 1C</w:t>
      </w:r>
      <w:r w:rsidRPr="0080469B">
        <w:rPr>
          <w:bdr w:val="none" w:sz="0" w:space="0" w:color="auto" w:frame="1"/>
          <w:lang w:eastAsia="en-NZ"/>
        </w:rPr>
        <w:fldChar w:fldCharType="end"/>
      </w:r>
      <w:bookmarkEnd w:id="14"/>
      <w:r w:rsidRPr="0080469B">
        <w:rPr>
          <w:bdr w:val="none" w:sz="0" w:space="0" w:color="auto" w:frame="1"/>
          <w:lang w:eastAsia="en-NZ"/>
        </w:rPr>
        <w:t> and </w:t>
      </w:r>
      <w:bookmarkStart w:id="15" w:name="DLM431296"/>
      <w:r w:rsidRPr="0080469B">
        <w:rPr>
          <w:bdr w:val="none" w:sz="0" w:space="0" w:color="auto" w:frame="1"/>
          <w:lang w:eastAsia="en-NZ"/>
        </w:rPr>
        <w:fldChar w:fldCharType="begin"/>
      </w:r>
      <w:r w:rsidRPr="0080469B">
        <w:rPr>
          <w:bdr w:val="none" w:sz="0" w:space="0" w:color="auto" w:frame="1"/>
          <w:lang w:eastAsia="en-NZ"/>
        </w:rPr>
        <w:instrText xml:space="preserve"> HYPERLINK "https://www.legislation.govt.nz/act/public/1975/0009/latest/link.aspx?id=DLM431296" \l "DLM431296" </w:instrText>
      </w:r>
      <w:r w:rsidRPr="0080469B">
        <w:rPr>
          <w:bdr w:val="none" w:sz="0" w:space="0" w:color="auto" w:frame="1"/>
          <w:lang w:eastAsia="en-NZ"/>
        </w:rPr>
        <w:fldChar w:fldCharType="separate"/>
      </w:r>
      <w:r w:rsidRPr="0080469B">
        <w:rPr>
          <w:color w:val="0000FF"/>
          <w:u w:val="single"/>
          <w:bdr w:val="none" w:sz="0" w:space="0" w:color="auto" w:frame="1"/>
          <w:lang w:eastAsia="en-NZ"/>
        </w:rPr>
        <w:t>2</w:t>
      </w:r>
      <w:r w:rsidRPr="0080469B">
        <w:rPr>
          <w:bdr w:val="none" w:sz="0" w:space="0" w:color="auto" w:frame="1"/>
          <w:lang w:eastAsia="en-NZ"/>
        </w:rPr>
        <w:fldChar w:fldCharType="end"/>
      </w:r>
      <w:bookmarkEnd w:id="15"/>
      <w:r w:rsidRPr="0080469B">
        <w:rPr>
          <w:bdr w:val="none" w:sz="0" w:space="0" w:color="auto" w:frame="1"/>
          <w:lang w:eastAsia="en-NZ"/>
        </w:rPr>
        <w:t> of Schedule 1</w:t>
      </w:r>
      <w:r>
        <w:rPr>
          <w:bdr w:val="none" w:sz="0" w:space="0" w:color="auto" w:frame="1"/>
          <w:lang w:eastAsia="en-NZ"/>
        </w:rPr>
        <w:t xml:space="preserve"> …</w:t>
      </w:r>
      <w:r w:rsidRPr="0080469B">
        <w:rPr>
          <w:lang w:eastAsia="en-NZ"/>
        </w:rPr>
        <w:t xml:space="preserve"> or by any officer, employee, or member of any such </w:t>
      </w:r>
      <w:r w:rsidRPr="0080469B">
        <w:rPr>
          <w:bdr w:val="none" w:sz="0" w:space="0" w:color="auto" w:frame="1"/>
          <w:lang w:eastAsia="en-NZ"/>
        </w:rPr>
        <w:t>public service agency</w:t>
      </w:r>
      <w:r w:rsidRPr="0080469B">
        <w:rPr>
          <w:lang w:eastAsia="en-NZ"/>
        </w:rPr>
        <w:t xml:space="preserve"> or organisation in </w:t>
      </w:r>
      <w:r>
        <w:rPr>
          <w:lang w:eastAsia="en-NZ"/>
        </w:rPr>
        <w:t>[their]</w:t>
      </w:r>
      <w:r w:rsidRPr="0080469B">
        <w:rPr>
          <w:lang w:eastAsia="en-NZ"/>
        </w:rPr>
        <w:t xml:space="preserve"> capacity as such officer, employee, or member.</w:t>
      </w:r>
    </w:p>
    <w:p w:rsidR="003A0DB3" w:rsidRDefault="003A0DB3" w:rsidP="003A0DB3">
      <w:pPr>
        <w:pStyle w:val="BQLegstyle-10"/>
        <w:rPr>
          <w:bdr w:val="none" w:sz="0" w:space="0" w:color="auto" w:frame="1"/>
          <w:lang w:eastAsia="en-NZ"/>
        </w:rPr>
      </w:pPr>
      <w:r w:rsidRPr="002240DB">
        <w:rPr>
          <w:bdr w:val="none" w:sz="0" w:space="0" w:color="auto" w:frame="1"/>
          <w:lang w:eastAsia="en-NZ"/>
        </w:rPr>
        <w:t>18</w:t>
      </w:r>
      <w:r>
        <w:rPr>
          <w:bdr w:val="none" w:sz="0" w:space="0" w:color="auto" w:frame="1"/>
          <w:lang w:eastAsia="en-NZ"/>
        </w:rPr>
        <w:t xml:space="preserve"> </w:t>
      </w:r>
      <w:r w:rsidRPr="002240DB">
        <w:rPr>
          <w:bdr w:val="none" w:sz="0" w:space="0" w:color="auto" w:frame="1"/>
          <w:lang w:eastAsia="en-NZ"/>
        </w:rPr>
        <w:t>Proceedings of Ombudsmen</w:t>
      </w:r>
    </w:p>
    <w:p w:rsidR="003A0DB3" w:rsidRPr="002240DB" w:rsidRDefault="003A0DB3" w:rsidP="003A0DB3">
      <w:pPr>
        <w:pStyle w:val="BQLegstyle-1"/>
        <w:rPr>
          <w:bdr w:val="none" w:sz="0" w:space="0" w:color="auto" w:frame="1"/>
          <w:lang w:eastAsia="en-NZ"/>
        </w:rPr>
      </w:pPr>
      <w:r w:rsidRPr="002240DB">
        <w:rPr>
          <w:bdr w:val="none" w:sz="0" w:space="0" w:color="auto" w:frame="1"/>
          <w:lang w:eastAsia="en-NZ"/>
        </w:rPr>
        <w:t>(3)</w:t>
      </w:r>
      <w:r>
        <w:rPr>
          <w:bdr w:val="none" w:sz="0" w:space="0" w:color="auto" w:frame="1"/>
          <w:lang w:eastAsia="en-NZ"/>
        </w:rPr>
        <w:t xml:space="preserve"> </w:t>
      </w:r>
      <w:r>
        <w:rPr>
          <w:bdr w:val="none" w:sz="0" w:space="0" w:color="auto" w:frame="1"/>
          <w:lang w:eastAsia="en-NZ"/>
        </w:rPr>
        <w:tab/>
      </w:r>
      <w:r w:rsidRPr="002240DB">
        <w:rPr>
          <w:bdr w:val="none" w:sz="0" w:space="0" w:color="auto" w:frame="1"/>
          <w:lang w:eastAsia="en-NZ"/>
        </w:rPr>
        <w:t>An Ombudsman may hear or obtain information from such persons as</w:t>
      </w:r>
      <w:r>
        <w:rPr>
          <w:bdr w:val="none" w:sz="0" w:space="0" w:color="auto" w:frame="1"/>
          <w:lang w:eastAsia="en-NZ"/>
        </w:rPr>
        <w:t xml:space="preserve"> [they]</w:t>
      </w:r>
      <w:r w:rsidRPr="002240DB">
        <w:rPr>
          <w:bdr w:val="none" w:sz="0" w:space="0" w:color="auto" w:frame="1"/>
          <w:lang w:eastAsia="en-NZ"/>
        </w:rPr>
        <w:t xml:space="preserve"> thinks fit, and may make such inquiries as </w:t>
      </w:r>
      <w:r>
        <w:rPr>
          <w:bdr w:val="none" w:sz="0" w:space="0" w:color="auto" w:frame="1"/>
          <w:lang w:eastAsia="en-NZ"/>
        </w:rPr>
        <w:t>[they]</w:t>
      </w:r>
      <w:r w:rsidRPr="002240DB">
        <w:rPr>
          <w:bdr w:val="none" w:sz="0" w:space="0" w:color="auto" w:frame="1"/>
          <w:lang w:eastAsia="en-NZ"/>
        </w:rPr>
        <w:t xml:space="preserve"> thinks fit. It shall not be necessary for an Ombudsman to hold any hearing, and no person shall be entitled as of right to be heard by an Ombudsman:</w:t>
      </w:r>
    </w:p>
    <w:p w:rsidR="003A0DB3" w:rsidRDefault="003A0DB3" w:rsidP="003A0DB3">
      <w:pPr>
        <w:pStyle w:val="BQLegindent1"/>
        <w:rPr>
          <w:bdr w:val="none" w:sz="0" w:space="0" w:color="auto" w:frame="1"/>
          <w:lang w:eastAsia="en-NZ"/>
        </w:rPr>
      </w:pPr>
      <w:r w:rsidRPr="002240DB">
        <w:rPr>
          <w:bdr w:val="none" w:sz="0" w:space="0" w:color="auto" w:frame="1"/>
          <w:lang w:eastAsia="en-NZ"/>
        </w:rPr>
        <w:t xml:space="preserve">provided that if at any time during the course of an investigation it appears to an Ombudsman that there may be sufficient grounds for </w:t>
      </w:r>
      <w:r>
        <w:rPr>
          <w:bdr w:val="none" w:sz="0" w:space="0" w:color="auto" w:frame="1"/>
          <w:lang w:eastAsia="en-NZ"/>
        </w:rPr>
        <w:t>…</w:t>
      </w:r>
      <w:r w:rsidRPr="002240DB">
        <w:rPr>
          <w:bdr w:val="none" w:sz="0" w:space="0" w:color="auto" w:frame="1"/>
          <w:lang w:eastAsia="en-NZ"/>
        </w:rPr>
        <w:t xml:space="preserve"> making any report or recommendation that may adversely affect any public service agency or organisation or person, </w:t>
      </w:r>
      <w:r>
        <w:rPr>
          <w:bdr w:val="none" w:sz="0" w:space="0" w:color="auto" w:frame="1"/>
          <w:lang w:eastAsia="en-NZ"/>
        </w:rPr>
        <w:t>[they]</w:t>
      </w:r>
      <w:r w:rsidRPr="002240DB">
        <w:rPr>
          <w:bdr w:val="none" w:sz="0" w:space="0" w:color="auto" w:frame="1"/>
          <w:lang w:eastAsia="en-NZ"/>
        </w:rPr>
        <w:t xml:space="preserve"> shall give to that public service agency or organisation or person an opportunity to be heard.</w:t>
      </w:r>
    </w:p>
    <w:p w:rsidR="003A0DB3" w:rsidRPr="0080469B" w:rsidRDefault="003A0DB3" w:rsidP="003A0DB3">
      <w:pPr>
        <w:pStyle w:val="BQLegstyle-10"/>
        <w:rPr>
          <w:bdr w:val="none" w:sz="0" w:space="0" w:color="auto" w:frame="1"/>
          <w:lang w:eastAsia="en-NZ"/>
        </w:rPr>
      </w:pPr>
      <w:r w:rsidRPr="0080469B">
        <w:rPr>
          <w:bdr w:val="none" w:sz="0" w:space="0" w:color="auto" w:frame="1"/>
          <w:lang w:eastAsia="en-NZ"/>
        </w:rPr>
        <w:t>22</w:t>
      </w:r>
      <w:r>
        <w:rPr>
          <w:bdr w:val="none" w:sz="0" w:space="0" w:color="auto" w:frame="1"/>
          <w:lang w:eastAsia="en-NZ"/>
        </w:rPr>
        <w:t xml:space="preserve"> </w:t>
      </w:r>
      <w:r w:rsidRPr="0080469B">
        <w:rPr>
          <w:bdr w:val="none" w:sz="0" w:space="0" w:color="auto" w:frame="1"/>
          <w:lang w:eastAsia="en-NZ"/>
        </w:rPr>
        <w:t>Procedure after investigation</w:t>
      </w:r>
    </w:p>
    <w:p w:rsidR="003A0DB3" w:rsidRPr="0080469B" w:rsidRDefault="003A0DB3" w:rsidP="003A0DB3">
      <w:pPr>
        <w:pStyle w:val="BQLegstyle-1"/>
        <w:rPr>
          <w:lang w:eastAsia="en-NZ"/>
        </w:rPr>
      </w:pPr>
      <w:r w:rsidRPr="0080469B">
        <w:rPr>
          <w:bdr w:val="none" w:sz="0" w:space="0" w:color="auto" w:frame="1"/>
          <w:lang w:eastAsia="en-NZ"/>
        </w:rPr>
        <w:t>(1)</w:t>
      </w:r>
      <w:r>
        <w:rPr>
          <w:bdr w:val="none" w:sz="0" w:space="0" w:color="auto" w:frame="1"/>
          <w:lang w:eastAsia="en-NZ"/>
        </w:rPr>
        <w:t xml:space="preserve"> </w:t>
      </w:r>
      <w:r>
        <w:rPr>
          <w:bdr w:val="none" w:sz="0" w:space="0" w:color="auto" w:frame="1"/>
          <w:lang w:eastAsia="en-NZ"/>
        </w:rPr>
        <w:tab/>
      </w:r>
      <w:r w:rsidRPr="0080469B">
        <w:rPr>
          <w:lang w:eastAsia="en-NZ"/>
        </w:rPr>
        <w:t>The provisions of this section shall apply in every case where, after making any investigation under this Act, an Ombudsman is of opinion that the decision, recommendation, act, or omission which was the subject matter of the investigation—</w:t>
      </w:r>
    </w:p>
    <w:p w:rsidR="003A0DB3" w:rsidRPr="0080469B" w:rsidRDefault="003A0DB3" w:rsidP="003A0DB3">
      <w:pPr>
        <w:pStyle w:val="BQLegstyle-a"/>
        <w:rPr>
          <w:lang w:eastAsia="en-NZ"/>
        </w:rPr>
      </w:pPr>
      <w:r w:rsidRPr="0080469B">
        <w:rPr>
          <w:sz w:val="20"/>
          <w:szCs w:val="20"/>
          <w:bdr w:val="none" w:sz="0" w:space="0" w:color="auto" w:frame="1"/>
          <w:lang w:eastAsia="en-NZ"/>
        </w:rPr>
        <w:t>(a)</w:t>
      </w:r>
      <w:r>
        <w:rPr>
          <w:sz w:val="20"/>
          <w:szCs w:val="20"/>
          <w:bdr w:val="none" w:sz="0" w:space="0" w:color="auto" w:frame="1"/>
          <w:lang w:eastAsia="en-NZ"/>
        </w:rPr>
        <w:t xml:space="preserve"> </w:t>
      </w:r>
      <w:r>
        <w:rPr>
          <w:sz w:val="20"/>
          <w:szCs w:val="20"/>
          <w:bdr w:val="none" w:sz="0" w:space="0" w:color="auto" w:frame="1"/>
          <w:lang w:eastAsia="en-NZ"/>
        </w:rPr>
        <w:tab/>
      </w:r>
      <w:r w:rsidRPr="0080469B">
        <w:rPr>
          <w:lang w:eastAsia="en-NZ"/>
        </w:rPr>
        <w:t>appears to have been contrary to law; or</w:t>
      </w:r>
    </w:p>
    <w:p w:rsidR="003A0DB3" w:rsidRPr="0080469B" w:rsidRDefault="003A0DB3" w:rsidP="003A0DB3">
      <w:pPr>
        <w:pStyle w:val="BQLegstyle-a"/>
        <w:rPr>
          <w:lang w:eastAsia="en-NZ"/>
        </w:rPr>
      </w:pPr>
      <w:r w:rsidRPr="0080469B">
        <w:rPr>
          <w:sz w:val="20"/>
          <w:szCs w:val="20"/>
          <w:bdr w:val="none" w:sz="0" w:space="0" w:color="auto" w:frame="1"/>
          <w:lang w:eastAsia="en-NZ"/>
        </w:rPr>
        <w:t>(b)</w:t>
      </w:r>
      <w:r>
        <w:rPr>
          <w:sz w:val="20"/>
          <w:szCs w:val="20"/>
          <w:bdr w:val="none" w:sz="0" w:space="0" w:color="auto" w:frame="1"/>
          <w:lang w:eastAsia="en-NZ"/>
        </w:rPr>
        <w:t xml:space="preserve"> </w:t>
      </w:r>
      <w:r>
        <w:rPr>
          <w:sz w:val="20"/>
          <w:szCs w:val="20"/>
          <w:bdr w:val="none" w:sz="0" w:space="0" w:color="auto" w:frame="1"/>
          <w:lang w:eastAsia="en-NZ"/>
        </w:rPr>
        <w:tab/>
      </w:r>
      <w:r w:rsidRPr="0080469B">
        <w:rPr>
          <w:lang w:eastAsia="en-NZ"/>
        </w:rPr>
        <w:t>was unreasonable, unjust, oppressive, or improperly discriminatory, or was in accordance with a rule of law or </w:t>
      </w:r>
      <w:r w:rsidRPr="0080469B">
        <w:rPr>
          <w:bdr w:val="none" w:sz="0" w:space="0" w:color="auto" w:frame="1"/>
          <w:lang w:eastAsia="en-NZ"/>
        </w:rPr>
        <w:t>any legislation</w:t>
      </w:r>
      <w:r w:rsidRPr="0080469B">
        <w:rPr>
          <w:lang w:eastAsia="en-NZ"/>
        </w:rPr>
        <w:t> or a practice that is or may be unreasonable, unjust, oppressive, or improperly discriminatory; or</w:t>
      </w:r>
    </w:p>
    <w:p w:rsidR="003A0DB3" w:rsidRPr="0080469B" w:rsidRDefault="003A0DB3" w:rsidP="003A0DB3">
      <w:pPr>
        <w:pStyle w:val="BQLegstyle-a"/>
        <w:rPr>
          <w:lang w:eastAsia="en-NZ"/>
        </w:rPr>
      </w:pPr>
      <w:r w:rsidRPr="0080469B">
        <w:rPr>
          <w:sz w:val="20"/>
          <w:szCs w:val="20"/>
          <w:bdr w:val="none" w:sz="0" w:space="0" w:color="auto" w:frame="1"/>
          <w:lang w:eastAsia="en-NZ"/>
        </w:rPr>
        <w:t>(c)</w:t>
      </w:r>
      <w:r>
        <w:rPr>
          <w:sz w:val="20"/>
          <w:szCs w:val="20"/>
          <w:bdr w:val="none" w:sz="0" w:space="0" w:color="auto" w:frame="1"/>
          <w:lang w:eastAsia="en-NZ"/>
        </w:rPr>
        <w:t xml:space="preserve"> </w:t>
      </w:r>
      <w:r>
        <w:rPr>
          <w:sz w:val="20"/>
          <w:szCs w:val="20"/>
          <w:bdr w:val="none" w:sz="0" w:space="0" w:color="auto" w:frame="1"/>
          <w:lang w:eastAsia="en-NZ"/>
        </w:rPr>
        <w:tab/>
      </w:r>
      <w:r w:rsidRPr="0080469B">
        <w:rPr>
          <w:lang w:eastAsia="en-NZ"/>
        </w:rPr>
        <w:t>was based wholly or partly on a mistake of law or fact; or</w:t>
      </w:r>
    </w:p>
    <w:p w:rsidR="003A0DB3" w:rsidRPr="0080469B" w:rsidRDefault="003A0DB3" w:rsidP="003A0DB3">
      <w:pPr>
        <w:pStyle w:val="BQLegstyle-a"/>
        <w:rPr>
          <w:lang w:eastAsia="en-NZ"/>
        </w:rPr>
      </w:pPr>
      <w:r w:rsidRPr="0080469B">
        <w:rPr>
          <w:sz w:val="20"/>
          <w:szCs w:val="20"/>
          <w:bdr w:val="none" w:sz="0" w:space="0" w:color="auto" w:frame="1"/>
          <w:lang w:eastAsia="en-NZ"/>
        </w:rPr>
        <w:t>(d)</w:t>
      </w:r>
      <w:r>
        <w:rPr>
          <w:sz w:val="20"/>
          <w:szCs w:val="20"/>
          <w:bdr w:val="none" w:sz="0" w:space="0" w:color="auto" w:frame="1"/>
          <w:lang w:eastAsia="en-NZ"/>
        </w:rPr>
        <w:t xml:space="preserve"> </w:t>
      </w:r>
      <w:r>
        <w:rPr>
          <w:sz w:val="20"/>
          <w:szCs w:val="20"/>
          <w:bdr w:val="none" w:sz="0" w:space="0" w:color="auto" w:frame="1"/>
          <w:lang w:eastAsia="en-NZ"/>
        </w:rPr>
        <w:tab/>
      </w:r>
      <w:r w:rsidRPr="0080469B">
        <w:rPr>
          <w:lang w:eastAsia="en-NZ"/>
        </w:rPr>
        <w:t>was wrong.</w:t>
      </w:r>
    </w:p>
    <w:p w:rsidR="003A0DB3" w:rsidRPr="0080469B" w:rsidRDefault="003A0DB3" w:rsidP="003A0DB3">
      <w:pPr>
        <w:pStyle w:val="BQLegstyle-1"/>
        <w:rPr>
          <w:lang w:eastAsia="en-NZ"/>
        </w:rPr>
      </w:pPr>
      <w:r w:rsidRPr="0080469B">
        <w:rPr>
          <w:bdr w:val="none" w:sz="0" w:space="0" w:color="auto" w:frame="1"/>
          <w:lang w:eastAsia="en-NZ"/>
        </w:rPr>
        <w:t>(2)</w:t>
      </w:r>
      <w:r>
        <w:rPr>
          <w:bdr w:val="none" w:sz="0" w:space="0" w:color="auto" w:frame="1"/>
          <w:lang w:eastAsia="en-NZ"/>
        </w:rPr>
        <w:t xml:space="preserve"> </w:t>
      </w:r>
      <w:r>
        <w:rPr>
          <w:bdr w:val="none" w:sz="0" w:space="0" w:color="auto" w:frame="1"/>
          <w:lang w:eastAsia="en-NZ"/>
        </w:rPr>
        <w:tab/>
      </w:r>
      <w:r w:rsidRPr="0080469B">
        <w:rPr>
          <w:lang w:eastAsia="en-NZ"/>
        </w:rPr>
        <w:t>The provisions of this section shall also apply in any case where an Ombudsman is of opinion that in the making of the decision or recommendation, or in the doing or omission of the act, a discretionary power has been exercised for an improper purpose or on irrelevant grounds or on the taking into account of irrelevant considerations, or that, in the case of a decision made in the exercise of any discretionary power, reasons should have been given for the decision.</w:t>
      </w:r>
    </w:p>
    <w:p w:rsidR="003A0DB3" w:rsidRPr="0080469B" w:rsidRDefault="003A0DB3" w:rsidP="003A0DB3">
      <w:pPr>
        <w:pStyle w:val="BQLegstyle-1"/>
        <w:rPr>
          <w:lang w:eastAsia="en-NZ"/>
        </w:rPr>
      </w:pPr>
      <w:r w:rsidRPr="0080469B">
        <w:rPr>
          <w:bdr w:val="none" w:sz="0" w:space="0" w:color="auto" w:frame="1"/>
          <w:lang w:eastAsia="en-NZ"/>
        </w:rPr>
        <w:t>(3)</w:t>
      </w:r>
      <w:r>
        <w:rPr>
          <w:bdr w:val="none" w:sz="0" w:space="0" w:color="auto" w:frame="1"/>
          <w:lang w:eastAsia="en-NZ"/>
        </w:rPr>
        <w:t xml:space="preserve"> </w:t>
      </w:r>
      <w:r>
        <w:rPr>
          <w:bdr w:val="none" w:sz="0" w:space="0" w:color="auto" w:frame="1"/>
          <w:lang w:eastAsia="en-NZ"/>
        </w:rPr>
        <w:tab/>
      </w:r>
      <w:r w:rsidRPr="0080469B">
        <w:rPr>
          <w:lang w:eastAsia="en-NZ"/>
        </w:rPr>
        <w:t xml:space="preserve">If in any case to which this section applies an Ombudsman is of </w:t>
      </w:r>
      <w:r>
        <w:rPr>
          <w:lang w:eastAsia="en-NZ"/>
        </w:rPr>
        <w:t xml:space="preserve">the </w:t>
      </w:r>
      <w:r w:rsidRPr="0080469B">
        <w:rPr>
          <w:lang w:eastAsia="en-NZ"/>
        </w:rPr>
        <w:t>opinion—</w:t>
      </w:r>
    </w:p>
    <w:p w:rsidR="003A0DB3" w:rsidRPr="0080469B" w:rsidRDefault="003A0DB3" w:rsidP="003A0DB3">
      <w:pPr>
        <w:pStyle w:val="BQLegstyle-a"/>
        <w:rPr>
          <w:lang w:eastAsia="en-NZ"/>
        </w:rPr>
      </w:pPr>
      <w:r w:rsidRPr="0080469B">
        <w:rPr>
          <w:sz w:val="20"/>
          <w:szCs w:val="20"/>
          <w:bdr w:val="none" w:sz="0" w:space="0" w:color="auto" w:frame="1"/>
          <w:lang w:eastAsia="en-NZ"/>
        </w:rPr>
        <w:t>(a)</w:t>
      </w:r>
      <w:r>
        <w:rPr>
          <w:sz w:val="20"/>
          <w:szCs w:val="20"/>
          <w:bdr w:val="none" w:sz="0" w:space="0" w:color="auto" w:frame="1"/>
          <w:lang w:eastAsia="en-NZ"/>
        </w:rPr>
        <w:t xml:space="preserve"> </w:t>
      </w:r>
      <w:r>
        <w:rPr>
          <w:sz w:val="20"/>
          <w:szCs w:val="20"/>
          <w:bdr w:val="none" w:sz="0" w:space="0" w:color="auto" w:frame="1"/>
          <w:lang w:eastAsia="en-NZ"/>
        </w:rPr>
        <w:tab/>
      </w:r>
      <w:r w:rsidRPr="0080469B">
        <w:rPr>
          <w:lang w:eastAsia="en-NZ"/>
        </w:rPr>
        <w:t>that the matter should be referred to the appropriate authority for further consideration; or</w:t>
      </w:r>
    </w:p>
    <w:p w:rsidR="003A0DB3" w:rsidRPr="0080469B" w:rsidRDefault="003A0DB3" w:rsidP="003A0DB3">
      <w:pPr>
        <w:pStyle w:val="BQLegstyle-a"/>
        <w:rPr>
          <w:lang w:eastAsia="en-NZ"/>
        </w:rPr>
      </w:pPr>
      <w:r w:rsidRPr="0080469B">
        <w:rPr>
          <w:sz w:val="20"/>
          <w:szCs w:val="20"/>
          <w:bdr w:val="none" w:sz="0" w:space="0" w:color="auto" w:frame="1"/>
          <w:lang w:eastAsia="en-NZ"/>
        </w:rPr>
        <w:t>(b)</w:t>
      </w:r>
      <w:r>
        <w:rPr>
          <w:sz w:val="20"/>
          <w:szCs w:val="20"/>
          <w:bdr w:val="none" w:sz="0" w:space="0" w:color="auto" w:frame="1"/>
          <w:lang w:eastAsia="en-NZ"/>
        </w:rPr>
        <w:t xml:space="preserve"> </w:t>
      </w:r>
      <w:r>
        <w:rPr>
          <w:sz w:val="20"/>
          <w:szCs w:val="20"/>
          <w:bdr w:val="none" w:sz="0" w:space="0" w:color="auto" w:frame="1"/>
          <w:lang w:eastAsia="en-NZ"/>
        </w:rPr>
        <w:tab/>
      </w:r>
      <w:r w:rsidRPr="0080469B">
        <w:rPr>
          <w:lang w:eastAsia="en-NZ"/>
        </w:rPr>
        <w:t>that the omission should be rectified; or</w:t>
      </w:r>
    </w:p>
    <w:p w:rsidR="003A0DB3" w:rsidRPr="0080469B" w:rsidRDefault="003A0DB3" w:rsidP="003A0DB3">
      <w:pPr>
        <w:pStyle w:val="BQLegstyle-a"/>
        <w:rPr>
          <w:lang w:eastAsia="en-NZ"/>
        </w:rPr>
      </w:pPr>
      <w:r w:rsidRPr="0080469B">
        <w:rPr>
          <w:sz w:val="20"/>
          <w:szCs w:val="20"/>
          <w:bdr w:val="none" w:sz="0" w:space="0" w:color="auto" w:frame="1"/>
          <w:lang w:eastAsia="en-NZ"/>
        </w:rPr>
        <w:t>(c)</w:t>
      </w:r>
      <w:r>
        <w:rPr>
          <w:sz w:val="20"/>
          <w:szCs w:val="20"/>
          <w:bdr w:val="none" w:sz="0" w:space="0" w:color="auto" w:frame="1"/>
          <w:lang w:eastAsia="en-NZ"/>
        </w:rPr>
        <w:t xml:space="preserve"> </w:t>
      </w:r>
      <w:r>
        <w:rPr>
          <w:sz w:val="20"/>
          <w:szCs w:val="20"/>
          <w:bdr w:val="none" w:sz="0" w:space="0" w:color="auto" w:frame="1"/>
          <w:lang w:eastAsia="en-NZ"/>
        </w:rPr>
        <w:tab/>
      </w:r>
      <w:r w:rsidRPr="0080469B">
        <w:rPr>
          <w:lang w:eastAsia="en-NZ"/>
        </w:rPr>
        <w:t>that the decision should be cancelled or varied; or</w:t>
      </w:r>
    </w:p>
    <w:p w:rsidR="003A0DB3" w:rsidRPr="0080469B" w:rsidRDefault="003A0DB3" w:rsidP="003A0DB3">
      <w:pPr>
        <w:pStyle w:val="BQLegstyle-a"/>
        <w:rPr>
          <w:lang w:eastAsia="en-NZ"/>
        </w:rPr>
      </w:pPr>
      <w:r w:rsidRPr="0080469B">
        <w:rPr>
          <w:sz w:val="20"/>
          <w:szCs w:val="20"/>
          <w:bdr w:val="none" w:sz="0" w:space="0" w:color="auto" w:frame="1"/>
          <w:lang w:eastAsia="en-NZ"/>
        </w:rPr>
        <w:t>(d)</w:t>
      </w:r>
      <w:r>
        <w:rPr>
          <w:sz w:val="20"/>
          <w:szCs w:val="20"/>
          <w:bdr w:val="none" w:sz="0" w:space="0" w:color="auto" w:frame="1"/>
          <w:lang w:eastAsia="en-NZ"/>
        </w:rPr>
        <w:t xml:space="preserve"> </w:t>
      </w:r>
      <w:r>
        <w:rPr>
          <w:sz w:val="20"/>
          <w:szCs w:val="20"/>
          <w:bdr w:val="none" w:sz="0" w:space="0" w:color="auto" w:frame="1"/>
          <w:lang w:eastAsia="en-NZ"/>
        </w:rPr>
        <w:tab/>
      </w:r>
      <w:r w:rsidRPr="0080469B">
        <w:rPr>
          <w:lang w:eastAsia="en-NZ"/>
        </w:rPr>
        <w:t>that any practice on which the decision, recommendation, act, or omission was based should be altered; or</w:t>
      </w:r>
    </w:p>
    <w:p w:rsidR="003A0DB3" w:rsidRPr="0080469B" w:rsidRDefault="003A0DB3" w:rsidP="003A0DB3">
      <w:pPr>
        <w:pStyle w:val="BQLegstyle-a"/>
        <w:rPr>
          <w:lang w:eastAsia="en-NZ"/>
        </w:rPr>
      </w:pPr>
      <w:r w:rsidRPr="0080469B">
        <w:rPr>
          <w:sz w:val="20"/>
          <w:szCs w:val="20"/>
          <w:bdr w:val="none" w:sz="0" w:space="0" w:color="auto" w:frame="1"/>
          <w:lang w:eastAsia="en-NZ"/>
        </w:rPr>
        <w:t>(e)</w:t>
      </w:r>
      <w:r>
        <w:rPr>
          <w:sz w:val="20"/>
          <w:szCs w:val="20"/>
          <w:bdr w:val="none" w:sz="0" w:space="0" w:color="auto" w:frame="1"/>
          <w:lang w:eastAsia="en-NZ"/>
        </w:rPr>
        <w:t xml:space="preserve"> </w:t>
      </w:r>
      <w:r>
        <w:rPr>
          <w:sz w:val="20"/>
          <w:szCs w:val="20"/>
          <w:bdr w:val="none" w:sz="0" w:space="0" w:color="auto" w:frame="1"/>
          <w:lang w:eastAsia="en-NZ"/>
        </w:rPr>
        <w:tab/>
      </w:r>
      <w:r w:rsidRPr="0080469B">
        <w:rPr>
          <w:lang w:eastAsia="en-NZ"/>
        </w:rPr>
        <w:t>that any law on which the decision, recommendation, act, or omission was based should be reconsidered; or</w:t>
      </w:r>
    </w:p>
    <w:p w:rsidR="003A0DB3" w:rsidRPr="0080469B" w:rsidRDefault="003A0DB3" w:rsidP="003A0DB3">
      <w:pPr>
        <w:pStyle w:val="BQLegstyle-a"/>
        <w:rPr>
          <w:lang w:eastAsia="en-NZ"/>
        </w:rPr>
      </w:pPr>
      <w:r w:rsidRPr="0080469B">
        <w:rPr>
          <w:sz w:val="20"/>
          <w:szCs w:val="20"/>
          <w:bdr w:val="none" w:sz="0" w:space="0" w:color="auto" w:frame="1"/>
          <w:lang w:eastAsia="en-NZ"/>
        </w:rPr>
        <w:t>(f)</w:t>
      </w:r>
      <w:r>
        <w:rPr>
          <w:sz w:val="20"/>
          <w:szCs w:val="20"/>
          <w:bdr w:val="none" w:sz="0" w:space="0" w:color="auto" w:frame="1"/>
          <w:lang w:eastAsia="en-NZ"/>
        </w:rPr>
        <w:t xml:space="preserve"> </w:t>
      </w:r>
      <w:r>
        <w:rPr>
          <w:sz w:val="20"/>
          <w:szCs w:val="20"/>
          <w:bdr w:val="none" w:sz="0" w:space="0" w:color="auto" w:frame="1"/>
          <w:lang w:eastAsia="en-NZ"/>
        </w:rPr>
        <w:tab/>
      </w:r>
      <w:r w:rsidRPr="0080469B">
        <w:rPr>
          <w:lang w:eastAsia="en-NZ"/>
        </w:rPr>
        <w:t>that reasons should have been given for the decision; or</w:t>
      </w:r>
    </w:p>
    <w:p w:rsidR="003A0DB3" w:rsidRPr="0080469B" w:rsidRDefault="003A0DB3" w:rsidP="003A0DB3">
      <w:pPr>
        <w:pStyle w:val="BQLegstyle-a"/>
        <w:rPr>
          <w:lang w:eastAsia="en-NZ"/>
        </w:rPr>
      </w:pPr>
      <w:r w:rsidRPr="0080469B">
        <w:rPr>
          <w:sz w:val="20"/>
          <w:szCs w:val="20"/>
          <w:bdr w:val="none" w:sz="0" w:space="0" w:color="auto" w:frame="1"/>
          <w:lang w:eastAsia="en-NZ"/>
        </w:rPr>
        <w:t>(g)</w:t>
      </w:r>
      <w:r>
        <w:rPr>
          <w:sz w:val="20"/>
          <w:szCs w:val="20"/>
          <w:bdr w:val="none" w:sz="0" w:space="0" w:color="auto" w:frame="1"/>
          <w:lang w:eastAsia="en-NZ"/>
        </w:rPr>
        <w:t xml:space="preserve"> </w:t>
      </w:r>
      <w:r>
        <w:rPr>
          <w:sz w:val="20"/>
          <w:szCs w:val="20"/>
          <w:bdr w:val="none" w:sz="0" w:space="0" w:color="auto" w:frame="1"/>
          <w:lang w:eastAsia="en-NZ"/>
        </w:rPr>
        <w:tab/>
      </w:r>
      <w:r w:rsidRPr="0080469B">
        <w:rPr>
          <w:lang w:eastAsia="en-NZ"/>
        </w:rPr>
        <w:t>that any other steps should be taken—</w:t>
      </w:r>
    </w:p>
    <w:p w:rsidR="003A0DB3" w:rsidRPr="0080469B" w:rsidRDefault="003A0DB3" w:rsidP="003A0DB3">
      <w:pPr>
        <w:pStyle w:val="BQLegindent1"/>
        <w:rPr>
          <w:lang w:eastAsia="en-NZ"/>
        </w:rPr>
      </w:pPr>
      <w:r w:rsidRPr="0080469B">
        <w:rPr>
          <w:lang w:eastAsia="en-NZ"/>
        </w:rPr>
        <w:t xml:space="preserve">the Ombudsman shall report </w:t>
      </w:r>
      <w:r>
        <w:rPr>
          <w:lang w:eastAsia="en-NZ"/>
        </w:rPr>
        <w:t>[their]</w:t>
      </w:r>
      <w:r w:rsidRPr="0080469B">
        <w:rPr>
          <w:lang w:eastAsia="en-NZ"/>
        </w:rPr>
        <w:t xml:space="preserve"> opinion, and </w:t>
      </w:r>
      <w:r>
        <w:rPr>
          <w:lang w:eastAsia="en-NZ"/>
        </w:rPr>
        <w:t>[their]</w:t>
      </w:r>
      <w:r w:rsidRPr="0080469B">
        <w:rPr>
          <w:lang w:eastAsia="en-NZ"/>
        </w:rPr>
        <w:t xml:space="preserve"> reasons therefor, to the appropriate department </w:t>
      </w:r>
      <w:r>
        <w:rPr>
          <w:bdr w:val="none" w:sz="0" w:space="0" w:color="auto" w:frame="1"/>
          <w:lang w:eastAsia="en-NZ"/>
        </w:rPr>
        <w:t>…</w:t>
      </w:r>
      <w:r w:rsidRPr="0080469B">
        <w:rPr>
          <w:lang w:eastAsia="en-NZ"/>
        </w:rPr>
        <w:t xml:space="preserve"> and may make such recommendations as </w:t>
      </w:r>
      <w:r>
        <w:rPr>
          <w:lang w:eastAsia="en-NZ"/>
        </w:rPr>
        <w:t>[they]</w:t>
      </w:r>
      <w:r w:rsidRPr="0080469B">
        <w:rPr>
          <w:lang w:eastAsia="en-NZ"/>
        </w:rPr>
        <w:t xml:space="preserve"> thinks fit. In any such case </w:t>
      </w:r>
      <w:r>
        <w:rPr>
          <w:lang w:eastAsia="en-NZ"/>
        </w:rPr>
        <w:t>[they]</w:t>
      </w:r>
      <w:r w:rsidRPr="0080469B">
        <w:rPr>
          <w:lang w:eastAsia="en-NZ"/>
        </w:rPr>
        <w:t xml:space="preserve"> may request the department </w:t>
      </w:r>
      <w:r>
        <w:rPr>
          <w:bdr w:val="none" w:sz="0" w:space="0" w:color="auto" w:frame="1"/>
          <w:lang w:eastAsia="en-NZ"/>
        </w:rPr>
        <w:t>…</w:t>
      </w:r>
      <w:r w:rsidRPr="0080469B">
        <w:rPr>
          <w:lang w:eastAsia="en-NZ"/>
        </w:rPr>
        <w:t xml:space="preserve"> to notify </w:t>
      </w:r>
      <w:r>
        <w:rPr>
          <w:lang w:eastAsia="en-NZ"/>
        </w:rPr>
        <w:t>[them]</w:t>
      </w:r>
      <w:r w:rsidRPr="0080469B">
        <w:rPr>
          <w:lang w:eastAsia="en-NZ"/>
        </w:rPr>
        <w:t xml:space="preserve">, within a specified time, of the steps (if any) that it proposes to take to give effect to </w:t>
      </w:r>
      <w:r>
        <w:rPr>
          <w:lang w:eastAsia="en-NZ"/>
        </w:rPr>
        <w:t>[the]</w:t>
      </w:r>
      <w:r w:rsidRPr="0080469B">
        <w:rPr>
          <w:lang w:eastAsia="en-NZ"/>
        </w:rPr>
        <w:t xml:space="preserve"> recommendations. The Ombudsman shall also, in the case of an investigation relating to a department </w:t>
      </w:r>
      <w:r>
        <w:rPr>
          <w:bdr w:val="none" w:sz="0" w:space="0" w:color="auto" w:frame="1"/>
          <w:lang w:eastAsia="en-NZ"/>
        </w:rPr>
        <w:t>…</w:t>
      </w:r>
      <w:r w:rsidRPr="0080469B">
        <w:rPr>
          <w:lang w:eastAsia="en-NZ"/>
        </w:rPr>
        <w:t xml:space="preserve"> named or specified in </w:t>
      </w:r>
      <w:bookmarkStart w:id="16" w:name="DLM431204"/>
      <w:r w:rsidRPr="0080469B">
        <w:rPr>
          <w:lang w:eastAsia="en-NZ"/>
        </w:rPr>
        <w:fldChar w:fldCharType="begin"/>
      </w:r>
      <w:r w:rsidRPr="0080469B">
        <w:rPr>
          <w:lang w:eastAsia="en-NZ"/>
        </w:rPr>
        <w:instrText xml:space="preserve"> HYPERLINK "https://www.legislation.govt.nz/act/public/1975/0009/latest/link.aspx?id=DLM431204" \l "DLM431204" </w:instrText>
      </w:r>
      <w:r w:rsidRPr="0080469B">
        <w:rPr>
          <w:lang w:eastAsia="en-NZ"/>
        </w:rPr>
        <w:fldChar w:fldCharType="separate"/>
      </w:r>
      <w:r w:rsidRPr="0080469B">
        <w:rPr>
          <w:color w:val="0000FF"/>
          <w:u w:val="single"/>
          <w:bdr w:val="none" w:sz="0" w:space="0" w:color="auto" w:frame="1"/>
          <w:lang w:eastAsia="en-NZ"/>
        </w:rPr>
        <w:t>Schedule 1</w:t>
      </w:r>
      <w:r w:rsidRPr="0080469B">
        <w:rPr>
          <w:lang w:eastAsia="en-NZ"/>
        </w:rPr>
        <w:fldChar w:fldCharType="end"/>
      </w:r>
      <w:bookmarkEnd w:id="16"/>
      <w:r w:rsidRPr="0080469B">
        <w:rPr>
          <w:lang w:eastAsia="en-NZ"/>
        </w:rPr>
        <w:t xml:space="preserve">, send a copy of </w:t>
      </w:r>
      <w:r>
        <w:rPr>
          <w:lang w:eastAsia="en-NZ"/>
        </w:rPr>
        <w:t>[their]</w:t>
      </w:r>
      <w:r w:rsidRPr="0080469B">
        <w:rPr>
          <w:lang w:eastAsia="en-NZ"/>
        </w:rPr>
        <w:t xml:space="preserve"> report or recommendations to the Minister concerned</w:t>
      </w:r>
      <w:r>
        <w:rPr>
          <w:lang w:eastAsia="en-NZ"/>
        </w:rPr>
        <w:t>…</w:t>
      </w:r>
    </w:p>
    <w:p w:rsidR="003A0DB3" w:rsidRPr="00CE33BD" w:rsidRDefault="003A0DB3" w:rsidP="003A0DB3">
      <w:pPr>
        <w:pStyle w:val="Heading3"/>
      </w:pPr>
      <w:bookmarkStart w:id="17" w:name="_Toc115786624"/>
      <w:r w:rsidRPr="00CE33BD">
        <w:t>Oranga Tamariki Act 1989</w:t>
      </w:r>
      <w:bookmarkEnd w:id="17"/>
    </w:p>
    <w:p w:rsidR="003A0DB3" w:rsidRPr="006C7D67" w:rsidRDefault="003A0DB3" w:rsidP="003A0DB3">
      <w:pPr>
        <w:pStyle w:val="BQLegstyle-10"/>
        <w:rPr>
          <w:lang w:eastAsia="en-NZ"/>
        </w:rPr>
      </w:pPr>
      <w:r w:rsidRPr="006C7D67">
        <w:rPr>
          <w:bdr w:val="none" w:sz="0" w:space="0" w:color="auto" w:frame="1"/>
          <w:lang w:eastAsia="en-NZ"/>
        </w:rPr>
        <w:t>4A</w:t>
      </w:r>
      <w:r>
        <w:rPr>
          <w:bdr w:val="none" w:sz="0" w:space="0" w:color="auto" w:frame="1"/>
          <w:lang w:eastAsia="en-NZ"/>
        </w:rPr>
        <w:t xml:space="preserve"> </w:t>
      </w:r>
      <w:r w:rsidRPr="006C7D67">
        <w:rPr>
          <w:lang w:eastAsia="en-NZ"/>
        </w:rPr>
        <w:t>Well-being and best interests of child or young person</w:t>
      </w:r>
    </w:p>
    <w:p w:rsidR="003A0DB3" w:rsidRPr="006C7D67" w:rsidRDefault="003A0DB3" w:rsidP="003A0DB3">
      <w:pPr>
        <w:pStyle w:val="BQLegstyle-1"/>
        <w:rPr>
          <w:lang w:eastAsia="en-NZ"/>
        </w:rPr>
      </w:pPr>
      <w:r w:rsidRPr="006C7D67">
        <w:rPr>
          <w:bdr w:val="none" w:sz="0" w:space="0" w:color="auto" w:frame="1"/>
          <w:lang w:eastAsia="en-NZ"/>
        </w:rPr>
        <w:t>(1)</w:t>
      </w:r>
      <w:r>
        <w:rPr>
          <w:bdr w:val="none" w:sz="0" w:space="0" w:color="auto" w:frame="1"/>
          <w:lang w:eastAsia="en-NZ"/>
        </w:rPr>
        <w:t xml:space="preserve"> </w:t>
      </w:r>
      <w:r>
        <w:rPr>
          <w:bdr w:val="none" w:sz="0" w:space="0" w:color="auto" w:frame="1"/>
          <w:lang w:eastAsia="en-NZ"/>
        </w:rPr>
        <w:tab/>
      </w:r>
      <w:r w:rsidRPr="006C7D67">
        <w:rPr>
          <w:lang w:eastAsia="en-NZ"/>
        </w:rPr>
        <w:t>In all matters relating to the administration or application of this Act (other than </w:t>
      </w:r>
      <w:bookmarkStart w:id="18" w:name="DLM152191"/>
      <w:r w:rsidRPr="006C7D67">
        <w:rPr>
          <w:lang w:eastAsia="en-NZ"/>
        </w:rPr>
        <w:fldChar w:fldCharType="begin"/>
      </w:r>
      <w:r w:rsidRPr="006C7D67">
        <w:rPr>
          <w:lang w:eastAsia="en-NZ"/>
        </w:rPr>
        <w:instrText xml:space="preserve"> HYPERLINK "https://www.legislation.govt.nz/act/public/1989/0024/latest/link.aspx?id=DLM152191" \l "DLM152191" </w:instrText>
      </w:r>
      <w:r w:rsidRPr="006C7D67">
        <w:rPr>
          <w:lang w:eastAsia="en-NZ"/>
        </w:rPr>
        <w:fldChar w:fldCharType="separate"/>
      </w:r>
      <w:r w:rsidRPr="006C7D67">
        <w:rPr>
          <w:color w:val="0000FF"/>
          <w:u w:val="single"/>
          <w:bdr w:val="none" w:sz="0" w:space="0" w:color="auto" w:frame="1"/>
          <w:lang w:eastAsia="en-NZ"/>
        </w:rPr>
        <w:t>Parts 4</w:t>
      </w:r>
      <w:r w:rsidRPr="006C7D67">
        <w:rPr>
          <w:lang w:eastAsia="en-NZ"/>
        </w:rPr>
        <w:fldChar w:fldCharType="end"/>
      </w:r>
      <w:bookmarkEnd w:id="18"/>
      <w:r w:rsidRPr="006C7D67">
        <w:rPr>
          <w:lang w:eastAsia="en-NZ"/>
        </w:rPr>
        <w:t> and </w:t>
      </w:r>
      <w:bookmarkStart w:id="19" w:name="DLM154027"/>
      <w:r w:rsidRPr="006C7D67">
        <w:rPr>
          <w:lang w:eastAsia="en-NZ"/>
        </w:rPr>
        <w:fldChar w:fldCharType="begin"/>
      </w:r>
      <w:r w:rsidRPr="006C7D67">
        <w:rPr>
          <w:lang w:eastAsia="en-NZ"/>
        </w:rPr>
        <w:instrText xml:space="preserve"> HYPERLINK "https://www.legislation.govt.nz/act/public/1989/0024/latest/link.aspx?id=DLM154027" \l "DLM154027" </w:instrText>
      </w:r>
      <w:r w:rsidRPr="006C7D67">
        <w:rPr>
          <w:lang w:eastAsia="en-NZ"/>
        </w:rPr>
        <w:fldChar w:fldCharType="separate"/>
      </w:r>
      <w:r w:rsidRPr="006C7D67">
        <w:rPr>
          <w:color w:val="0000FF"/>
          <w:u w:val="single"/>
          <w:bdr w:val="none" w:sz="0" w:space="0" w:color="auto" w:frame="1"/>
          <w:lang w:eastAsia="en-NZ"/>
        </w:rPr>
        <w:t>5</w:t>
      </w:r>
      <w:r w:rsidRPr="006C7D67">
        <w:rPr>
          <w:lang w:eastAsia="en-NZ"/>
        </w:rPr>
        <w:fldChar w:fldCharType="end"/>
      </w:r>
      <w:bookmarkEnd w:id="19"/>
      <w:r w:rsidRPr="006C7D67">
        <w:rPr>
          <w:lang w:eastAsia="en-NZ"/>
        </w:rPr>
        <w:t> and </w:t>
      </w:r>
      <w:bookmarkStart w:id="20" w:name="DLM154093"/>
      <w:r w:rsidRPr="006C7D67">
        <w:rPr>
          <w:lang w:eastAsia="en-NZ"/>
        </w:rPr>
        <w:fldChar w:fldCharType="begin"/>
      </w:r>
      <w:r w:rsidRPr="006C7D67">
        <w:rPr>
          <w:lang w:eastAsia="en-NZ"/>
        </w:rPr>
        <w:instrText xml:space="preserve"> HYPERLINK "https://www.legislation.govt.nz/act/public/1989/0024/latest/link.aspx?id=DLM154093" \l "DLM154093" </w:instrText>
      </w:r>
      <w:r w:rsidRPr="006C7D67">
        <w:rPr>
          <w:lang w:eastAsia="en-NZ"/>
        </w:rPr>
        <w:fldChar w:fldCharType="separate"/>
      </w:r>
      <w:r w:rsidRPr="006C7D67">
        <w:rPr>
          <w:color w:val="0000FF"/>
          <w:u w:val="single"/>
          <w:bdr w:val="none" w:sz="0" w:space="0" w:color="auto" w:frame="1"/>
          <w:lang w:eastAsia="en-NZ"/>
        </w:rPr>
        <w:t>sections 351 to 360</w:t>
      </w:r>
      <w:r w:rsidRPr="006C7D67">
        <w:rPr>
          <w:lang w:eastAsia="en-NZ"/>
        </w:rPr>
        <w:fldChar w:fldCharType="end"/>
      </w:r>
      <w:bookmarkEnd w:id="20"/>
      <w:r w:rsidRPr="006C7D67">
        <w:rPr>
          <w:lang w:eastAsia="en-NZ"/>
        </w:rPr>
        <w:t>), the well-being and best interests of the child or young person are the first and paramount consideration, having regard to the principles set out in </w:t>
      </w:r>
      <w:bookmarkStart w:id="21" w:name="DLM149440"/>
      <w:r w:rsidRPr="006C7D67">
        <w:rPr>
          <w:lang w:eastAsia="en-NZ"/>
        </w:rPr>
        <w:fldChar w:fldCharType="begin"/>
      </w:r>
      <w:r w:rsidRPr="006C7D67">
        <w:rPr>
          <w:lang w:eastAsia="en-NZ"/>
        </w:rPr>
        <w:instrText xml:space="preserve"> HYPERLINK "https://www.legislation.govt.nz/act/public/1989/0024/latest/link.aspx?id=DLM149440" \l "DLM149440" </w:instrText>
      </w:r>
      <w:r w:rsidRPr="006C7D67">
        <w:rPr>
          <w:lang w:eastAsia="en-NZ"/>
        </w:rPr>
        <w:fldChar w:fldCharType="separate"/>
      </w:r>
      <w:r w:rsidRPr="006C7D67">
        <w:rPr>
          <w:color w:val="0000FF"/>
          <w:u w:val="single"/>
          <w:bdr w:val="none" w:sz="0" w:space="0" w:color="auto" w:frame="1"/>
          <w:lang w:eastAsia="en-NZ"/>
        </w:rPr>
        <w:t>sections 5</w:t>
      </w:r>
      <w:r w:rsidRPr="006C7D67">
        <w:rPr>
          <w:lang w:eastAsia="en-NZ"/>
        </w:rPr>
        <w:fldChar w:fldCharType="end"/>
      </w:r>
      <w:bookmarkEnd w:id="21"/>
      <w:r w:rsidRPr="006C7D67">
        <w:rPr>
          <w:lang w:eastAsia="en-NZ"/>
        </w:rPr>
        <w:t> and </w:t>
      </w:r>
      <w:bookmarkStart w:id="22" w:name="DLM149454"/>
      <w:r w:rsidRPr="006C7D67">
        <w:rPr>
          <w:lang w:eastAsia="en-NZ"/>
        </w:rPr>
        <w:fldChar w:fldCharType="begin"/>
      </w:r>
      <w:r w:rsidRPr="006C7D67">
        <w:rPr>
          <w:lang w:eastAsia="en-NZ"/>
        </w:rPr>
        <w:instrText xml:space="preserve"> HYPERLINK "https://www.legislation.govt.nz/act/public/1989/0024/latest/link.aspx?id=DLM149454" \l "DLM149454" </w:instrText>
      </w:r>
      <w:r w:rsidRPr="006C7D67">
        <w:rPr>
          <w:lang w:eastAsia="en-NZ"/>
        </w:rPr>
        <w:fldChar w:fldCharType="separate"/>
      </w:r>
      <w:r w:rsidRPr="006C7D67">
        <w:rPr>
          <w:color w:val="0000FF"/>
          <w:u w:val="single"/>
          <w:bdr w:val="none" w:sz="0" w:space="0" w:color="auto" w:frame="1"/>
          <w:lang w:eastAsia="en-NZ"/>
        </w:rPr>
        <w:t>13</w:t>
      </w:r>
      <w:r w:rsidRPr="006C7D67">
        <w:rPr>
          <w:lang w:eastAsia="en-NZ"/>
        </w:rPr>
        <w:fldChar w:fldCharType="end"/>
      </w:r>
      <w:bookmarkEnd w:id="22"/>
      <w:r w:rsidRPr="006C7D67">
        <w:rPr>
          <w:lang w:eastAsia="en-NZ"/>
        </w:rPr>
        <w:t>.</w:t>
      </w:r>
    </w:p>
    <w:p w:rsidR="003A0DB3" w:rsidRPr="006C7D67" w:rsidRDefault="003A0DB3" w:rsidP="003A0DB3">
      <w:pPr>
        <w:pStyle w:val="BQLegstyle-10"/>
        <w:rPr>
          <w:lang w:eastAsia="en-NZ"/>
        </w:rPr>
      </w:pPr>
      <w:r w:rsidRPr="006C7D67">
        <w:rPr>
          <w:bdr w:val="none" w:sz="0" w:space="0" w:color="auto" w:frame="1"/>
          <w:lang w:eastAsia="en-NZ"/>
        </w:rPr>
        <w:t>5</w:t>
      </w:r>
      <w:r>
        <w:rPr>
          <w:bdr w:val="none" w:sz="0" w:space="0" w:color="auto" w:frame="1"/>
          <w:lang w:eastAsia="en-NZ"/>
        </w:rPr>
        <w:t xml:space="preserve"> </w:t>
      </w:r>
      <w:r w:rsidRPr="006C7D67">
        <w:rPr>
          <w:lang w:eastAsia="en-NZ"/>
        </w:rPr>
        <w:t>Principles to be applied in exercise of powers under this Act</w:t>
      </w:r>
    </w:p>
    <w:p w:rsidR="003A0DB3" w:rsidRPr="006C7D67" w:rsidRDefault="003A0DB3" w:rsidP="003A0DB3">
      <w:pPr>
        <w:pStyle w:val="BQLegstyle-1"/>
        <w:rPr>
          <w:lang w:eastAsia="en-NZ"/>
        </w:rPr>
      </w:pPr>
      <w:r w:rsidRPr="006C7D67">
        <w:rPr>
          <w:bdr w:val="none" w:sz="0" w:space="0" w:color="auto" w:frame="1"/>
          <w:lang w:eastAsia="en-NZ"/>
        </w:rPr>
        <w:t>(1)</w:t>
      </w:r>
      <w:r>
        <w:rPr>
          <w:bdr w:val="none" w:sz="0" w:space="0" w:color="auto" w:frame="1"/>
          <w:lang w:eastAsia="en-NZ"/>
        </w:rPr>
        <w:t xml:space="preserve"> </w:t>
      </w:r>
      <w:r>
        <w:rPr>
          <w:bdr w:val="none" w:sz="0" w:space="0" w:color="auto" w:frame="1"/>
          <w:lang w:eastAsia="en-NZ"/>
        </w:rPr>
        <w:tab/>
      </w:r>
      <w:r w:rsidRPr="006C7D67">
        <w:rPr>
          <w:lang w:eastAsia="en-NZ"/>
        </w:rPr>
        <w:t>Any court that, or person who, exercises any power under this Act must be guided by the following principles:</w:t>
      </w:r>
    </w:p>
    <w:p w:rsidR="003A0DB3" w:rsidRPr="006C7D67" w:rsidRDefault="003A0DB3" w:rsidP="003A0DB3">
      <w:pPr>
        <w:pStyle w:val="BQLegstyle-a"/>
        <w:rPr>
          <w:lang w:eastAsia="en-NZ"/>
        </w:rPr>
      </w:pPr>
      <w:r w:rsidRPr="006C7D67">
        <w:rPr>
          <w:sz w:val="20"/>
          <w:szCs w:val="20"/>
          <w:bdr w:val="none" w:sz="0" w:space="0" w:color="auto" w:frame="1"/>
          <w:lang w:eastAsia="en-NZ"/>
        </w:rPr>
        <w:t>(a)</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a child or young person must be encouraged and assisted, wherever practicable, to participate in and express their views about any proceeding, process, or decision affecting them, and their views should be taken into account:</w:t>
      </w:r>
    </w:p>
    <w:p w:rsidR="003A0DB3" w:rsidRPr="006C7D67" w:rsidRDefault="003A0DB3" w:rsidP="003A0DB3">
      <w:pPr>
        <w:pStyle w:val="BQLegstyle-a"/>
        <w:rPr>
          <w:lang w:eastAsia="en-NZ"/>
        </w:rPr>
      </w:pPr>
      <w:r w:rsidRPr="006C7D67">
        <w:rPr>
          <w:sz w:val="20"/>
          <w:szCs w:val="20"/>
          <w:bdr w:val="none" w:sz="0" w:space="0" w:color="auto" w:frame="1"/>
          <w:lang w:eastAsia="en-NZ"/>
        </w:rPr>
        <w:t>(b)</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the well-being of a child or young person must be at the centre of decision making that affects that child or young person, and, in particular,—</w:t>
      </w:r>
    </w:p>
    <w:p w:rsidR="003A0DB3" w:rsidRPr="006C7D67" w:rsidRDefault="003A0DB3" w:rsidP="003A0DB3">
      <w:pPr>
        <w:pStyle w:val="BQLegstyle-i"/>
        <w:rPr>
          <w:lang w:eastAsia="en-NZ"/>
        </w:rPr>
      </w:pPr>
      <w:r w:rsidRPr="006C7D67">
        <w:rPr>
          <w:sz w:val="20"/>
          <w:szCs w:val="20"/>
          <w:bdr w:val="none" w:sz="0" w:space="0" w:color="auto" w:frame="1"/>
          <w:lang w:eastAsia="en-NZ"/>
        </w:rPr>
        <w:t>(i)</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the child’s or young person’s rights (including those rights set out in UNCROC and the United Nations Convention on the Rights of Persons with Disabilities) must be respected and upheld, and the child or young person must be—</w:t>
      </w:r>
    </w:p>
    <w:p w:rsidR="003A0DB3" w:rsidRPr="006C7D67" w:rsidRDefault="003A0DB3" w:rsidP="003A0DB3">
      <w:pPr>
        <w:pStyle w:val="BQLegindent3"/>
        <w:rPr>
          <w:lang w:eastAsia="en-NZ"/>
        </w:rPr>
      </w:pPr>
      <w:r w:rsidRPr="006C7D67">
        <w:rPr>
          <w:sz w:val="20"/>
          <w:szCs w:val="20"/>
          <w:bdr w:val="none" w:sz="0" w:space="0" w:color="auto" w:frame="1"/>
          <w:lang w:eastAsia="en-NZ"/>
        </w:rPr>
        <w:t>(A)</w:t>
      </w:r>
      <w:r>
        <w:rPr>
          <w:sz w:val="20"/>
          <w:szCs w:val="20"/>
          <w:bdr w:val="none" w:sz="0" w:space="0" w:color="auto" w:frame="1"/>
          <w:lang w:eastAsia="en-NZ"/>
        </w:rPr>
        <w:t xml:space="preserve"> </w:t>
      </w:r>
      <w:r w:rsidRPr="006C7D67">
        <w:rPr>
          <w:lang w:eastAsia="en-NZ"/>
        </w:rPr>
        <w:t>treated with dignity and respect at all times:</w:t>
      </w:r>
    </w:p>
    <w:p w:rsidR="003A0DB3" w:rsidRDefault="003A0DB3" w:rsidP="003A0DB3">
      <w:pPr>
        <w:pStyle w:val="BQLegindent3"/>
        <w:rPr>
          <w:lang w:eastAsia="en-NZ"/>
        </w:rPr>
      </w:pPr>
      <w:r w:rsidRPr="006C7D67">
        <w:rPr>
          <w:sz w:val="20"/>
          <w:szCs w:val="20"/>
          <w:bdr w:val="none" w:sz="0" w:space="0" w:color="auto" w:frame="1"/>
          <w:lang w:eastAsia="en-NZ"/>
        </w:rPr>
        <w:t>(B)</w:t>
      </w:r>
      <w:r>
        <w:rPr>
          <w:sz w:val="20"/>
          <w:szCs w:val="20"/>
          <w:bdr w:val="none" w:sz="0" w:space="0" w:color="auto" w:frame="1"/>
          <w:lang w:eastAsia="en-NZ"/>
        </w:rPr>
        <w:t xml:space="preserve"> </w:t>
      </w:r>
      <w:r w:rsidRPr="006C7D67">
        <w:rPr>
          <w:lang w:eastAsia="en-NZ"/>
        </w:rPr>
        <w:t>protected from harm:</w:t>
      </w:r>
    </w:p>
    <w:p w:rsidR="003A0DB3" w:rsidRPr="009247D3" w:rsidRDefault="003A0DB3" w:rsidP="003A0DB3">
      <w:pPr>
        <w:pStyle w:val="BodyText"/>
        <w:rPr>
          <w:i/>
          <w:lang w:eastAsia="en-NZ"/>
        </w:rPr>
      </w:pPr>
      <w:r>
        <w:rPr>
          <w:lang w:eastAsia="en-NZ"/>
        </w:rPr>
        <w:tab/>
      </w:r>
      <w:r>
        <w:rPr>
          <w:lang w:eastAsia="en-NZ"/>
        </w:rPr>
        <w:tab/>
      </w:r>
      <w:r>
        <w:rPr>
          <w:lang w:eastAsia="en-NZ"/>
        </w:rPr>
        <w:tab/>
      </w:r>
      <w:r>
        <w:rPr>
          <w:lang w:eastAsia="en-NZ"/>
        </w:rPr>
        <w:tab/>
      </w:r>
      <w:r w:rsidRPr="009247D3">
        <w:rPr>
          <w:i/>
          <w:lang w:eastAsia="en-NZ"/>
        </w:rPr>
        <w:t>…</w:t>
      </w:r>
    </w:p>
    <w:p w:rsidR="003A0DB3" w:rsidRDefault="003A0DB3" w:rsidP="003A0DB3">
      <w:pPr>
        <w:pStyle w:val="BQLegstyle-i"/>
        <w:rPr>
          <w:lang w:eastAsia="en-NZ"/>
        </w:rPr>
      </w:pPr>
      <w:r w:rsidRPr="006C7D67">
        <w:rPr>
          <w:sz w:val="20"/>
          <w:szCs w:val="20"/>
          <w:bdr w:val="none" w:sz="0" w:space="0" w:color="auto" w:frame="1"/>
          <w:lang w:eastAsia="en-NZ"/>
        </w:rPr>
        <w:t>(iii)</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the child’s or young person’s need for a safe, stable, and loving home should be addressed</w:t>
      </w:r>
      <w:r>
        <w:rPr>
          <w:lang w:eastAsia="en-NZ"/>
        </w:rPr>
        <w:t>:</w:t>
      </w:r>
    </w:p>
    <w:p w:rsidR="003A0DB3" w:rsidRPr="006C7D67" w:rsidRDefault="003A0DB3" w:rsidP="003A0DB3">
      <w:pPr>
        <w:pStyle w:val="BQLegstyle-i"/>
        <w:rPr>
          <w:lang w:eastAsia="en-NZ"/>
        </w:rPr>
      </w:pPr>
      <w:r>
        <w:rPr>
          <w:lang w:eastAsia="en-NZ"/>
        </w:rPr>
        <w:t xml:space="preserve">  …</w:t>
      </w:r>
    </w:p>
    <w:p w:rsidR="003A0DB3" w:rsidRPr="006C7D67" w:rsidRDefault="003A0DB3" w:rsidP="003A0DB3">
      <w:pPr>
        <w:pStyle w:val="BQLegstyle-i"/>
        <w:rPr>
          <w:lang w:eastAsia="en-NZ"/>
        </w:rPr>
      </w:pPr>
      <w:r w:rsidRPr="006C7D67">
        <w:rPr>
          <w:sz w:val="20"/>
          <w:szCs w:val="20"/>
          <w:bdr w:val="none" w:sz="0" w:space="0" w:color="auto" w:frame="1"/>
          <w:lang w:eastAsia="en-NZ"/>
        </w:rPr>
        <w:t>(vi)</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a holistic approach should be taken that sees the child or young person as a whole person which includes, but is not limited to, the child’s or young person’s—</w:t>
      </w:r>
    </w:p>
    <w:p w:rsidR="003A0DB3" w:rsidRPr="006C7D67" w:rsidRDefault="003A0DB3" w:rsidP="003A0DB3">
      <w:pPr>
        <w:pStyle w:val="BQLegindent3"/>
        <w:rPr>
          <w:lang w:eastAsia="en-NZ"/>
        </w:rPr>
      </w:pPr>
      <w:r w:rsidRPr="006C7D67">
        <w:rPr>
          <w:sz w:val="20"/>
          <w:szCs w:val="20"/>
          <w:bdr w:val="none" w:sz="0" w:space="0" w:color="auto" w:frame="1"/>
          <w:lang w:eastAsia="en-NZ"/>
        </w:rPr>
        <w:t>(A)</w:t>
      </w:r>
      <w:r>
        <w:rPr>
          <w:sz w:val="20"/>
          <w:szCs w:val="20"/>
          <w:bdr w:val="none" w:sz="0" w:space="0" w:color="auto" w:frame="1"/>
          <w:lang w:eastAsia="en-NZ"/>
        </w:rPr>
        <w:t xml:space="preserve"> </w:t>
      </w:r>
      <w:r w:rsidRPr="006C7D67">
        <w:rPr>
          <w:lang w:eastAsia="en-NZ"/>
        </w:rPr>
        <w:t>developmental potential; and</w:t>
      </w:r>
    </w:p>
    <w:p w:rsidR="003A0DB3" w:rsidRPr="006C7D67" w:rsidRDefault="003A0DB3" w:rsidP="003A0DB3">
      <w:pPr>
        <w:pStyle w:val="BQLegindent3"/>
        <w:rPr>
          <w:lang w:eastAsia="en-NZ"/>
        </w:rPr>
      </w:pPr>
      <w:r w:rsidRPr="006C7D67">
        <w:rPr>
          <w:sz w:val="20"/>
          <w:szCs w:val="20"/>
          <w:bdr w:val="none" w:sz="0" w:space="0" w:color="auto" w:frame="1"/>
          <w:lang w:eastAsia="en-NZ"/>
        </w:rPr>
        <w:t>(B)</w:t>
      </w:r>
      <w:r>
        <w:rPr>
          <w:sz w:val="20"/>
          <w:szCs w:val="20"/>
          <w:bdr w:val="none" w:sz="0" w:space="0" w:color="auto" w:frame="1"/>
          <w:lang w:eastAsia="en-NZ"/>
        </w:rPr>
        <w:t xml:space="preserve"> </w:t>
      </w:r>
      <w:r w:rsidRPr="006C7D67">
        <w:rPr>
          <w:lang w:eastAsia="en-NZ"/>
        </w:rPr>
        <w:t>educational and health needs; and</w:t>
      </w:r>
    </w:p>
    <w:p w:rsidR="003A0DB3" w:rsidRPr="006C7D67" w:rsidRDefault="003A0DB3" w:rsidP="003A0DB3">
      <w:pPr>
        <w:pStyle w:val="BQLegindent3"/>
        <w:rPr>
          <w:lang w:eastAsia="en-NZ"/>
        </w:rPr>
      </w:pPr>
      <w:r w:rsidRPr="006C7D67">
        <w:rPr>
          <w:sz w:val="20"/>
          <w:szCs w:val="20"/>
          <w:bdr w:val="none" w:sz="0" w:space="0" w:color="auto" w:frame="1"/>
          <w:lang w:eastAsia="en-NZ"/>
        </w:rPr>
        <w:t>(C)</w:t>
      </w:r>
      <w:r>
        <w:rPr>
          <w:sz w:val="20"/>
          <w:szCs w:val="20"/>
          <w:bdr w:val="none" w:sz="0" w:space="0" w:color="auto" w:frame="1"/>
          <w:lang w:eastAsia="en-NZ"/>
        </w:rPr>
        <w:t xml:space="preserve"> </w:t>
      </w:r>
      <w:r w:rsidRPr="006C7D67">
        <w:rPr>
          <w:lang w:eastAsia="en-NZ"/>
        </w:rPr>
        <w:t>whakapapa; and</w:t>
      </w:r>
    </w:p>
    <w:p w:rsidR="003A0DB3" w:rsidRPr="006C7D67" w:rsidRDefault="003A0DB3" w:rsidP="003A0DB3">
      <w:pPr>
        <w:pStyle w:val="BQLegindent3"/>
        <w:rPr>
          <w:lang w:eastAsia="en-NZ"/>
        </w:rPr>
      </w:pPr>
      <w:r w:rsidRPr="006C7D67">
        <w:rPr>
          <w:sz w:val="20"/>
          <w:szCs w:val="20"/>
          <w:bdr w:val="none" w:sz="0" w:space="0" w:color="auto" w:frame="1"/>
          <w:lang w:eastAsia="en-NZ"/>
        </w:rPr>
        <w:t>(D)</w:t>
      </w:r>
      <w:r>
        <w:rPr>
          <w:sz w:val="20"/>
          <w:szCs w:val="20"/>
          <w:bdr w:val="none" w:sz="0" w:space="0" w:color="auto" w:frame="1"/>
          <w:lang w:eastAsia="en-NZ"/>
        </w:rPr>
        <w:t xml:space="preserve"> </w:t>
      </w:r>
      <w:r w:rsidRPr="006C7D67">
        <w:rPr>
          <w:lang w:eastAsia="en-NZ"/>
        </w:rPr>
        <w:t>cultural identity; and</w:t>
      </w:r>
    </w:p>
    <w:p w:rsidR="003A0DB3" w:rsidRPr="006C7D67" w:rsidRDefault="003A0DB3" w:rsidP="003A0DB3">
      <w:pPr>
        <w:pStyle w:val="BQLegindent3"/>
        <w:rPr>
          <w:lang w:eastAsia="en-NZ"/>
        </w:rPr>
      </w:pPr>
      <w:r w:rsidRPr="006C7D67">
        <w:rPr>
          <w:sz w:val="20"/>
          <w:szCs w:val="20"/>
          <w:bdr w:val="none" w:sz="0" w:space="0" w:color="auto" w:frame="1"/>
          <w:lang w:eastAsia="en-NZ"/>
        </w:rPr>
        <w:t>(E)</w:t>
      </w:r>
      <w:r>
        <w:rPr>
          <w:sz w:val="20"/>
          <w:szCs w:val="20"/>
          <w:bdr w:val="none" w:sz="0" w:space="0" w:color="auto" w:frame="1"/>
          <w:lang w:eastAsia="en-NZ"/>
        </w:rPr>
        <w:t xml:space="preserve"> </w:t>
      </w:r>
      <w:r w:rsidRPr="006C7D67">
        <w:rPr>
          <w:lang w:eastAsia="en-NZ"/>
        </w:rPr>
        <w:t>gender identity; and</w:t>
      </w:r>
    </w:p>
    <w:p w:rsidR="003A0DB3" w:rsidRPr="006C7D67" w:rsidRDefault="003A0DB3" w:rsidP="003A0DB3">
      <w:pPr>
        <w:pStyle w:val="BQLegindent3"/>
        <w:rPr>
          <w:lang w:eastAsia="en-NZ"/>
        </w:rPr>
      </w:pPr>
      <w:r w:rsidRPr="006C7D67">
        <w:rPr>
          <w:sz w:val="20"/>
          <w:szCs w:val="20"/>
          <w:bdr w:val="none" w:sz="0" w:space="0" w:color="auto" w:frame="1"/>
          <w:lang w:eastAsia="en-NZ"/>
        </w:rPr>
        <w:t>(F)</w:t>
      </w:r>
      <w:r>
        <w:rPr>
          <w:sz w:val="20"/>
          <w:szCs w:val="20"/>
          <w:bdr w:val="none" w:sz="0" w:space="0" w:color="auto" w:frame="1"/>
          <w:lang w:eastAsia="en-NZ"/>
        </w:rPr>
        <w:t xml:space="preserve"> </w:t>
      </w:r>
      <w:r w:rsidRPr="006C7D67">
        <w:rPr>
          <w:lang w:eastAsia="en-NZ"/>
        </w:rPr>
        <w:t>sexual orientation; and</w:t>
      </w:r>
    </w:p>
    <w:p w:rsidR="003A0DB3" w:rsidRPr="006C7D67" w:rsidRDefault="003A0DB3" w:rsidP="003A0DB3">
      <w:pPr>
        <w:pStyle w:val="BQLegindent3"/>
        <w:rPr>
          <w:lang w:eastAsia="en-NZ"/>
        </w:rPr>
      </w:pPr>
      <w:r w:rsidRPr="006C7D67">
        <w:rPr>
          <w:sz w:val="20"/>
          <w:szCs w:val="20"/>
          <w:bdr w:val="none" w:sz="0" w:space="0" w:color="auto" w:frame="1"/>
          <w:lang w:eastAsia="en-NZ"/>
        </w:rPr>
        <w:t>(G)</w:t>
      </w:r>
      <w:r>
        <w:rPr>
          <w:sz w:val="20"/>
          <w:szCs w:val="20"/>
          <w:bdr w:val="none" w:sz="0" w:space="0" w:color="auto" w:frame="1"/>
          <w:lang w:eastAsia="en-NZ"/>
        </w:rPr>
        <w:t xml:space="preserve"> </w:t>
      </w:r>
      <w:r w:rsidRPr="006C7D67">
        <w:rPr>
          <w:lang w:eastAsia="en-NZ"/>
        </w:rPr>
        <w:t>disability (if any); and</w:t>
      </w:r>
    </w:p>
    <w:p w:rsidR="003A0DB3" w:rsidRPr="006C7D67" w:rsidRDefault="003A0DB3" w:rsidP="003A0DB3">
      <w:pPr>
        <w:pStyle w:val="BQLegindent3"/>
        <w:rPr>
          <w:lang w:eastAsia="en-NZ"/>
        </w:rPr>
      </w:pPr>
      <w:r w:rsidRPr="006C7D67">
        <w:rPr>
          <w:sz w:val="20"/>
          <w:szCs w:val="20"/>
          <w:bdr w:val="none" w:sz="0" w:space="0" w:color="auto" w:frame="1"/>
          <w:lang w:eastAsia="en-NZ"/>
        </w:rPr>
        <w:t>(H)</w:t>
      </w:r>
      <w:r>
        <w:rPr>
          <w:sz w:val="20"/>
          <w:szCs w:val="20"/>
          <w:bdr w:val="none" w:sz="0" w:space="0" w:color="auto" w:frame="1"/>
          <w:lang w:eastAsia="en-NZ"/>
        </w:rPr>
        <w:t xml:space="preserve"> </w:t>
      </w:r>
      <w:r w:rsidRPr="006C7D67">
        <w:rPr>
          <w:lang w:eastAsia="en-NZ"/>
        </w:rPr>
        <w:t>age:</w:t>
      </w:r>
    </w:p>
    <w:p w:rsidR="003A0DB3" w:rsidRPr="006C7D67" w:rsidRDefault="003A0DB3" w:rsidP="003A0DB3">
      <w:pPr>
        <w:pStyle w:val="BQLegstyle-i"/>
        <w:rPr>
          <w:lang w:eastAsia="en-NZ"/>
        </w:rPr>
      </w:pPr>
      <w:r w:rsidRPr="006C7D67">
        <w:rPr>
          <w:sz w:val="20"/>
          <w:szCs w:val="20"/>
          <w:bdr w:val="none" w:sz="0" w:space="0" w:color="auto" w:frame="1"/>
          <w:lang w:eastAsia="en-NZ"/>
        </w:rPr>
        <w:t>(vii)</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endeavours should be made to obtain, to the extent consistent with the age and development of the child or young person, the support of that child or young person for the exercise or proposed exercise, in relation to that child or young person, of any power conferred by or under this Act:</w:t>
      </w:r>
    </w:p>
    <w:p w:rsidR="003A0DB3" w:rsidRPr="006C7D67" w:rsidRDefault="003A0DB3" w:rsidP="003A0DB3">
      <w:pPr>
        <w:pStyle w:val="BQLegstyle-i"/>
        <w:rPr>
          <w:lang w:eastAsia="en-NZ"/>
        </w:rPr>
      </w:pPr>
      <w:r w:rsidRPr="006C7D67">
        <w:rPr>
          <w:sz w:val="20"/>
          <w:szCs w:val="20"/>
          <w:bdr w:val="none" w:sz="0" w:space="0" w:color="auto" w:frame="1"/>
          <w:lang w:eastAsia="en-NZ"/>
        </w:rPr>
        <w:t>(viii)</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decisions about a child or young person with a disability—</w:t>
      </w:r>
    </w:p>
    <w:p w:rsidR="003A0DB3" w:rsidRPr="006C7D67" w:rsidRDefault="003A0DB3" w:rsidP="003A0DB3">
      <w:pPr>
        <w:pStyle w:val="BQLegindent3"/>
        <w:rPr>
          <w:lang w:eastAsia="en-NZ"/>
        </w:rPr>
      </w:pPr>
      <w:r w:rsidRPr="006C7D67">
        <w:rPr>
          <w:sz w:val="20"/>
          <w:szCs w:val="20"/>
          <w:bdr w:val="none" w:sz="0" w:space="0" w:color="auto" w:frame="1"/>
          <w:lang w:eastAsia="en-NZ"/>
        </w:rPr>
        <w:t>(A)</w:t>
      </w:r>
      <w:r>
        <w:rPr>
          <w:sz w:val="20"/>
          <w:szCs w:val="20"/>
          <w:bdr w:val="none" w:sz="0" w:space="0" w:color="auto" w:frame="1"/>
          <w:lang w:eastAsia="en-NZ"/>
        </w:rPr>
        <w:t xml:space="preserve"> </w:t>
      </w:r>
      <w:r w:rsidRPr="006C7D67">
        <w:rPr>
          <w:lang w:eastAsia="en-NZ"/>
        </w:rPr>
        <w:t>should be made having particular regard to the child’s or young person’s experience of disability and any difficulties or discrimination that may be encountered by the child or young person because of that disability; and</w:t>
      </w:r>
    </w:p>
    <w:p w:rsidR="003A0DB3" w:rsidRPr="006C7D67" w:rsidRDefault="003A0DB3" w:rsidP="003A0DB3">
      <w:pPr>
        <w:pStyle w:val="BQLegindent3"/>
        <w:rPr>
          <w:lang w:eastAsia="en-NZ"/>
        </w:rPr>
      </w:pPr>
      <w:r w:rsidRPr="006C7D67">
        <w:rPr>
          <w:sz w:val="20"/>
          <w:szCs w:val="20"/>
          <w:bdr w:val="none" w:sz="0" w:space="0" w:color="auto" w:frame="1"/>
          <w:lang w:eastAsia="en-NZ"/>
        </w:rPr>
        <w:t>(B)</w:t>
      </w:r>
      <w:r>
        <w:rPr>
          <w:sz w:val="20"/>
          <w:szCs w:val="20"/>
          <w:bdr w:val="none" w:sz="0" w:space="0" w:color="auto" w:frame="1"/>
          <w:lang w:eastAsia="en-NZ"/>
        </w:rPr>
        <w:t xml:space="preserve"> </w:t>
      </w:r>
      <w:r w:rsidRPr="006C7D67">
        <w:rPr>
          <w:lang w:eastAsia="en-NZ"/>
        </w:rPr>
        <w:t>should support the child’s or young person’s full and effective participation in society</w:t>
      </w:r>
      <w:r>
        <w:rPr>
          <w:lang w:eastAsia="en-NZ"/>
        </w:rPr>
        <w:t>:</w:t>
      </w:r>
    </w:p>
    <w:p w:rsidR="003A0DB3" w:rsidRPr="006C7D67" w:rsidRDefault="003A0DB3" w:rsidP="003A0DB3">
      <w:pPr>
        <w:pStyle w:val="BQLegstyle-10"/>
        <w:rPr>
          <w:lang w:eastAsia="en-NZ"/>
        </w:rPr>
      </w:pPr>
      <w:r w:rsidRPr="006C7D67">
        <w:rPr>
          <w:bdr w:val="none" w:sz="0" w:space="0" w:color="auto" w:frame="1"/>
          <w:lang w:eastAsia="en-NZ"/>
        </w:rPr>
        <w:t>11</w:t>
      </w:r>
      <w:r>
        <w:rPr>
          <w:bdr w:val="none" w:sz="0" w:space="0" w:color="auto" w:frame="1"/>
          <w:lang w:eastAsia="en-NZ"/>
        </w:rPr>
        <w:t xml:space="preserve"> </w:t>
      </w:r>
      <w:r w:rsidRPr="006C7D67">
        <w:rPr>
          <w:lang w:eastAsia="en-NZ"/>
        </w:rPr>
        <w:t>Child’s or young person’s participation and views</w:t>
      </w:r>
    </w:p>
    <w:p w:rsidR="003A0DB3" w:rsidRPr="006C7D67" w:rsidRDefault="003A0DB3" w:rsidP="003A0DB3">
      <w:pPr>
        <w:pStyle w:val="BQLegstyle-1"/>
        <w:rPr>
          <w:lang w:eastAsia="en-NZ"/>
        </w:rPr>
      </w:pPr>
      <w:r w:rsidRPr="006C7D67">
        <w:rPr>
          <w:bdr w:val="none" w:sz="0" w:space="0" w:color="auto" w:frame="1"/>
          <w:lang w:eastAsia="en-NZ"/>
        </w:rPr>
        <w:t>(1)</w:t>
      </w:r>
      <w:r>
        <w:rPr>
          <w:bdr w:val="none" w:sz="0" w:space="0" w:color="auto" w:frame="1"/>
          <w:lang w:eastAsia="en-NZ"/>
        </w:rPr>
        <w:t xml:space="preserve"> </w:t>
      </w:r>
      <w:r>
        <w:rPr>
          <w:bdr w:val="none" w:sz="0" w:space="0" w:color="auto" w:frame="1"/>
          <w:lang w:eastAsia="en-NZ"/>
        </w:rPr>
        <w:tab/>
      </w:r>
      <w:r w:rsidRPr="006C7D67">
        <w:rPr>
          <w:lang w:eastAsia="en-NZ"/>
        </w:rPr>
        <w:t>This section applies to the following proceedings and processes:</w:t>
      </w:r>
    </w:p>
    <w:p w:rsidR="003A0DB3" w:rsidRDefault="003A0DB3" w:rsidP="003A0DB3">
      <w:pPr>
        <w:pStyle w:val="BQLegstyle-a"/>
        <w:rPr>
          <w:sz w:val="20"/>
          <w:szCs w:val="20"/>
          <w:bdr w:val="none" w:sz="0" w:space="0" w:color="auto" w:frame="1"/>
          <w:lang w:eastAsia="en-NZ"/>
        </w:rPr>
      </w:pPr>
      <w:r>
        <w:rPr>
          <w:sz w:val="20"/>
          <w:szCs w:val="20"/>
          <w:bdr w:val="none" w:sz="0" w:space="0" w:color="auto" w:frame="1"/>
          <w:lang w:eastAsia="en-NZ"/>
        </w:rPr>
        <w:t>…</w:t>
      </w:r>
    </w:p>
    <w:p w:rsidR="003A0DB3" w:rsidRPr="006C7D67" w:rsidRDefault="003A0DB3" w:rsidP="003A0DB3">
      <w:pPr>
        <w:pStyle w:val="BQLegstyle-a"/>
        <w:rPr>
          <w:lang w:eastAsia="en-NZ"/>
        </w:rPr>
      </w:pPr>
      <w:r w:rsidRPr="006C7D67">
        <w:rPr>
          <w:sz w:val="20"/>
          <w:szCs w:val="20"/>
          <w:bdr w:val="none" w:sz="0" w:space="0" w:color="auto" w:frame="1"/>
          <w:lang w:eastAsia="en-NZ"/>
        </w:rPr>
        <w:t>(d)</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the taking of any other action or making of any other decision (any </w:t>
      </w:r>
      <w:r w:rsidRPr="006C7D67">
        <w:rPr>
          <w:b/>
          <w:bCs/>
          <w:bdr w:val="none" w:sz="0" w:space="0" w:color="auto" w:frame="1"/>
          <w:lang w:eastAsia="en-NZ"/>
        </w:rPr>
        <w:t>other process</w:t>
      </w:r>
      <w:r w:rsidRPr="006C7D67">
        <w:rPr>
          <w:lang w:eastAsia="en-NZ"/>
        </w:rPr>
        <w:t>) under this Act that would or does significantly affect a child or young person who is the subject of that process.</w:t>
      </w:r>
    </w:p>
    <w:p w:rsidR="003A0DB3" w:rsidRPr="006C7D67" w:rsidRDefault="003A0DB3" w:rsidP="003A0DB3">
      <w:pPr>
        <w:pStyle w:val="BQLegstyle-1"/>
        <w:rPr>
          <w:lang w:eastAsia="en-NZ"/>
        </w:rPr>
      </w:pPr>
      <w:r w:rsidRPr="006C7D67">
        <w:rPr>
          <w:bdr w:val="none" w:sz="0" w:space="0" w:color="auto" w:frame="1"/>
          <w:lang w:eastAsia="en-NZ"/>
        </w:rPr>
        <w:t>(2)</w:t>
      </w:r>
      <w:r>
        <w:rPr>
          <w:bdr w:val="none" w:sz="0" w:space="0" w:color="auto" w:frame="1"/>
          <w:lang w:eastAsia="en-NZ"/>
        </w:rPr>
        <w:tab/>
      </w:r>
      <w:r w:rsidRPr="006C7D67">
        <w:rPr>
          <w:lang w:eastAsia="en-NZ"/>
        </w:rPr>
        <w:t>In proceedings or a process to which this section applies,—</w:t>
      </w:r>
    </w:p>
    <w:p w:rsidR="003A0DB3" w:rsidRPr="006C7D67" w:rsidRDefault="003A0DB3" w:rsidP="003A0DB3">
      <w:pPr>
        <w:pStyle w:val="BQLegstyle-a"/>
        <w:rPr>
          <w:lang w:eastAsia="en-NZ"/>
        </w:rPr>
      </w:pPr>
      <w:r w:rsidRPr="006C7D67">
        <w:rPr>
          <w:sz w:val="20"/>
          <w:szCs w:val="20"/>
          <w:bdr w:val="none" w:sz="0" w:space="0" w:color="auto" w:frame="1"/>
          <w:lang w:eastAsia="en-NZ"/>
        </w:rPr>
        <w:t>(a)</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the child or young person must be encouraged and assisted to participate in the proceedings or process to the degree appropriate for </w:t>
      </w:r>
      <w:r w:rsidRPr="006C7D67">
        <w:rPr>
          <w:bdr w:val="none" w:sz="0" w:space="0" w:color="auto" w:frame="1"/>
          <w:lang w:eastAsia="en-NZ"/>
        </w:rPr>
        <w:t>their</w:t>
      </w:r>
      <w:r w:rsidRPr="006C7D67">
        <w:rPr>
          <w:lang w:eastAsia="en-NZ"/>
        </w:rPr>
        <w:t> age and level of maturity unless, in the view of a person specified in subsection (3), that participation is not appropriate, having regard to the matters to be heard or considered; and</w:t>
      </w:r>
    </w:p>
    <w:p w:rsidR="003A0DB3" w:rsidRPr="006C7D67" w:rsidRDefault="003A0DB3" w:rsidP="003A0DB3">
      <w:pPr>
        <w:pStyle w:val="BQLegstyle-a"/>
        <w:rPr>
          <w:lang w:eastAsia="en-NZ"/>
        </w:rPr>
      </w:pPr>
      <w:r w:rsidRPr="006C7D67">
        <w:rPr>
          <w:sz w:val="20"/>
          <w:szCs w:val="20"/>
          <w:bdr w:val="none" w:sz="0" w:space="0" w:color="auto" w:frame="1"/>
          <w:lang w:eastAsia="en-NZ"/>
        </w:rPr>
        <w:t>(aa)</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except where </w:t>
      </w:r>
      <w:bookmarkStart w:id="23" w:name="DLM149449"/>
      <w:r w:rsidRPr="006C7D67">
        <w:rPr>
          <w:lang w:eastAsia="en-NZ"/>
        </w:rPr>
        <w:fldChar w:fldCharType="begin"/>
      </w:r>
      <w:r w:rsidRPr="006C7D67">
        <w:rPr>
          <w:lang w:eastAsia="en-NZ"/>
        </w:rPr>
        <w:instrText xml:space="preserve"> HYPERLINK "https://www.legislation.govt.nz/act/public/1989/0024/latest/link.aspx?id=DLM149449" \l "DLM149449" </w:instrText>
      </w:r>
      <w:r w:rsidRPr="006C7D67">
        <w:rPr>
          <w:lang w:eastAsia="en-NZ"/>
        </w:rPr>
        <w:fldChar w:fldCharType="separate"/>
      </w:r>
      <w:r w:rsidRPr="006C7D67">
        <w:rPr>
          <w:color w:val="0000FF"/>
          <w:u w:val="single"/>
          <w:bdr w:val="none" w:sz="0" w:space="0" w:color="auto" w:frame="1"/>
          <w:lang w:eastAsia="en-NZ"/>
        </w:rPr>
        <w:t>section 10</w:t>
      </w:r>
      <w:r w:rsidRPr="006C7D67">
        <w:rPr>
          <w:lang w:eastAsia="en-NZ"/>
        </w:rPr>
        <w:fldChar w:fldCharType="end"/>
      </w:r>
      <w:bookmarkEnd w:id="23"/>
      <w:r w:rsidRPr="006C7D67">
        <w:rPr>
          <w:lang w:eastAsia="en-NZ"/>
        </w:rPr>
        <w:t> (relating to proceedings) applies, the child or young person must be given reasonable assistance to understand the reasons for the proceedings or process, the options available to the decision-maker, and how these options could affect them; and</w:t>
      </w:r>
    </w:p>
    <w:p w:rsidR="003A0DB3" w:rsidRPr="006C7D67" w:rsidRDefault="003A0DB3" w:rsidP="003A0DB3">
      <w:pPr>
        <w:pStyle w:val="BQLegstyle-a"/>
        <w:rPr>
          <w:lang w:eastAsia="en-NZ"/>
        </w:rPr>
      </w:pPr>
      <w:r w:rsidRPr="006C7D67">
        <w:rPr>
          <w:sz w:val="20"/>
          <w:szCs w:val="20"/>
          <w:bdr w:val="none" w:sz="0" w:space="0" w:color="auto" w:frame="1"/>
          <w:lang w:eastAsia="en-NZ"/>
        </w:rPr>
        <w:t>(b)</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the child or young person must be given reasonable opportunities to freely express </w:t>
      </w:r>
      <w:r w:rsidRPr="006C7D67">
        <w:rPr>
          <w:bdr w:val="none" w:sz="0" w:space="0" w:color="auto" w:frame="1"/>
          <w:lang w:eastAsia="en-NZ"/>
        </w:rPr>
        <w:t>their</w:t>
      </w:r>
      <w:r w:rsidRPr="006C7D67">
        <w:rPr>
          <w:lang w:eastAsia="en-NZ"/>
        </w:rPr>
        <w:t> views on matters affecting </w:t>
      </w:r>
      <w:r w:rsidRPr="006C7D67">
        <w:rPr>
          <w:bdr w:val="none" w:sz="0" w:space="0" w:color="auto" w:frame="1"/>
          <w:lang w:eastAsia="en-NZ"/>
        </w:rPr>
        <w:t>them</w:t>
      </w:r>
      <w:r w:rsidRPr="006C7D67">
        <w:rPr>
          <w:lang w:eastAsia="en-NZ"/>
        </w:rPr>
        <w:t>; and</w:t>
      </w:r>
    </w:p>
    <w:p w:rsidR="003A0DB3" w:rsidRPr="006C7D67" w:rsidRDefault="003A0DB3" w:rsidP="003A0DB3">
      <w:pPr>
        <w:pStyle w:val="BQLegstyle-a"/>
        <w:rPr>
          <w:lang w:eastAsia="en-NZ"/>
        </w:rPr>
      </w:pPr>
      <w:r w:rsidRPr="006C7D67">
        <w:rPr>
          <w:sz w:val="20"/>
          <w:szCs w:val="20"/>
          <w:bdr w:val="none" w:sz="0" w:space="0" w:color="auto" w:frame="1"/>
          <w:lang w:eastAsia="en-NZ"/>
        </w:rPr>
        <w:t>(c)</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if a child or young person has difficulties in expressing </w:t>
      </w:r>
      <w:r w:rsidRPr="006C7D67">
        <w:rPr>
          <w:bdr w:val="none" w:sz="0" w:space="0" w:color="auto" w:frame="1"/>
          <w:lang w:eastAsia="en-NZ"/>
        </w:rPr>
        <w:t>their</w:t>
      </w:r>
      <w:r w:rsidRPr="006C7D67">
        <w:rPr>
          <w:lang w:eastAsia="en-NZ"/>
        </w:rPr>
        <w:t> views or being understood (for example, because of </w:t>
      </w:r>
      <w:r w:rsidRPr="006C7D67">
        <w:rPr>
          <w:bdr w:val="none" w:sz="0" w:space="0" w:color="auto" w:frame="1"/>
          <w:lang w:eastAsia="en-NZ"/>
        </w:rPr>
        <w:t>their</w:t>
      </w:r>
      <w:r w:rsidRPr="006C7D67">
        <w:rPr>
          <w:lang w:eastAsia="en-NZ"/>
        </w:rPr>
        <w:t> age or language, or because of a disability), support must be provided to assist </w:t>
      </w:r>
      <w:r w:rsidRPr="006C7D67">
        <w:rPr>
          <w:bdr w:val="none" w:sz="0" w:space="0" w:color="auto" w:frame="1"/>
          <w:lang w:eastAsia="en-NZ"/>
        </w:rPr>
        <w:t>them</w:t>
      </w:r>
      <w:r w:rsidRPr="006C7D67">
        <w:rPr>
          <w:lang w:eastAsia="en-NZ"/>
        </w:rPr>
        <w:t> to express </w:t>
      </w:r>
      <w:r w:rsidRPr="006C7D67">
        <w:rPr>
          <w:bdr w:val="none" w:sz="0" w:space="0" w:color="auto" w:frame="1"/>
          <w:lang w:eastAsia="en-NZ"/>
        </w:rPr>
        <w:t>their</w:t>
      </w:r>
      <w:r w:rsidRPr="006C7D67">
        <w:rPr>
          <w:lang w:eastAsia="en-NZ"/>
        </w:rPr>
        <w:t> views and to be understood; and</w:t>
      </w:r>
    </w:p>
    <w:p w:rsidR="003A0DB3" w:rsidRPr="006C7D67" w:rsidRDefault="003A0DB3" w:rsidP="003A0DB3">
      <w:pPr>
        <w:pStyle w:val="BQLegstyle-a"/>
        <w:rPr>
          <w:lang w:eastAsia="en-NZ"/>
        </w:rPr>
      </w:pPr>
      <w:r w:rsidRPr="006C7D67">
        <w:rPr>
          <w:sz w:val="20"/>
          <w:szCs w:val="20"/>
          <w:bdr w:val="none" w:sz="0" w:space="0" w:color="auto" w:frame="1"/>
          <w:lang w:eastAsia="en-NZ"/>
        </w:rPr>
        <w:t>(d)</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any views that the child or young person expresses (either directly or through a representative) must be taken into account; and</w:t>
      </w:r>
    </w:p>
    <w:p w:rsidR="003A0DB3" w:rsidRPr="006C7D67" w:rsidRDefault="003A0DB3" w:rsidP="003A0DB3">
      <w:pPr>
        <w:pStyle w:val="BQLegstyle-a"/>
        <w:rPr>
          <w:lang w:eastAsia="en-NZ"/>
        </w:rPr>
      </w:pPr>
      <w:r w:rsidRPr="006C7D67">
        <w:rPr>
          <w:sz w:val="20"/>
          <w:szCs w:val="20"/>
          <w:bdr w:val="none" w:sz="0" w:space="0" w:color="auto" w:frame="1"/>
          <w:lang w:eastAsia="en-NZ"/>
        </w:rPr>
        <w:t>(e)</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any written decision must set out the child’s or young person’s views and, if those views were not followed, include the reasons for not doing so; and</w:t>
      </w:r>
    </w:p>
    <w:p w:rsidR="003A0DB3" w:rsidRPr="006C7D67" w:rsidRDefault="003A0DB3" w:rsidP="003A0DB3">
      <w:pPr>
        <w:pStyle w:val="BQLegstyle-a"/>
        <w:rPr>
          <w:lang w:eastAsia="en-NZ"/>
        </w:rPr>
      </w:pPr>
      <w:r w:rsidRPr="006C7D67">
        <w:rPr>
          <w:sz w:val="20"/>
          <w:szCs w:val="20"/>
          <w:bdr w:val="none" w:sz="0" w:space="0" w:color="auto" w:frame="1"/>
          <w:lang w:eastAsia="en-NZ"/>
        </w:rPr>
        <w:t>(f)</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the decision, the reasons for it, and how it will affect them must be explained to the child or young person.</w:t>
      </w:r>
    </w:p>
    <w:p w:rsidR="003A0DB3" w:rsidRPr="006C7D67" w:rsidRDefault="003A0DB3" w:rsidP="003A0DB3">
      <w:pPr>
        <w:pStyle w:val="BQLegstyle-1"/>
        <w:rPr>
          <w:lang w:eastAsia="en-NZ"/>
        </w:rPr>
      </w:pPr>
      <w:r w:rsidRPr="006C7D67">
        <w:rPr>
          <w:bdr w:val="none" w:sz="0" w:space="0" w:color="auto" w:frame="1"/>
          <w:lang w:eastAsia="en-NZ"/>
        </w:rPr>
        <w:t>(3)</w:t>
      </w:r>
      <w:r>
        <w:rPr>
          <w:bdr w:val="none" w:sz="0" w:space="0" w:color="auto" w:frame="1"/>
          <w:lang w:eastAsia="en-NZ"/>
        </w:rPr>
        <w:t xml:space="preserve"> </w:t>
      </w:r>
      <w:r>
        <w:rPr>
          <w:bdr w:val="none" w:sz="0" w:space="0" w:color="auto" w:frame="1"/>
          <w:lang w:eastAsia="en-NZ"/>
        </w:rPr>
        <w:tab/>
      </w:r>
      <w:r w:rsidRPr="006C7D67">
        <w:rPr>
          <w:lang w:eastAsia="en-NZ"/>
        </w:rPr>
        <w:t>The following persons must either perform the duties imposed by subsection (2)</w:t>
      </w:r>
      <w:r w:rsidRPr="006C7D67">
        <w:rPr>
          <w:rFonts w:ascii="Tahoma" w:hAnsi="Tahoma" w:cs="Tahoma"/>
          <w:lang w:eastAsia="en-NZ"/>
        </w:rPr>
        <w:t>﻿</w:t>
      </w:r>
      <w:r w:rsidRPr="006C7D67">
        <w:rPr>
          <w:lang w:eastAsia="en-NZ"/>
        </w:rPr>
        <w:t>(a) to (c) or be satisfied, before undertaking any proceeding or process involving the child or young person, that those duties have been performed by another person:</w:t>
      </w:r>
    </w:p>
    <w:p w:rsidR="003A0DB3" w:rsidRDefault="003A0DB3" w:rsidP="003A0DB3">
      <w:pPr>
        <w:pStyle w:val="BQLegstyle-a"/>
        <w:rPr>
          <w:sz w:val="20"/>
          <w:szCs w:val="20"/>
          <w:bdr w:val="none" w:sz="0" w:space="0" w:color="auto" w:frame="1"/>
          <w:lang w:eastAsia="en-NZ"/>
        </w:rPr>
      </w:pPr>
      <w:r>
        <w:rPr>
          <w:sz w:val="20"/>
          <w:szCs w:val="20"/>
          <w:bdr w:val="none" w:sz="0" w:space="0" w:color="auto" w:frame="1"/>
          <w:lang w:eastAsia="en-NZ"/>
        </w:rPr>
        <w:t>…</w:t>
      </w:r>
    </w:p>
    <w:p w:rsidR="003A0DB3" w:rsidRPr="006C7D67" w:rsidRDefault="003A0DB3" w:rsidP="003A0DB3">
      <w:pPr>
        <w:pStyle w:val="BQLegstyle-a"/>
        <w:rPr>
          <w:lang w:eastAsia="en-NZ"/>
        </w:rPr>
      </w:pPr>
      <w:r w:rsidRPr="006C7D67">
        <w:rPr>
          <w:sz w:val="20"/>
          <w:szCs w:val="20"/>
          <w:bdr w:val="none" w:sz="0" w:space="0" w:color="auto" w:frame="1"/>
          <w:lang w:eastAsia="en-NZ"/>
        </w:rPr>
        <w:t>(d)</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for any other process, the person responsible for taking the action or making the decision.</w:t>
      </w:r>
    </w:p>
    <w:p w:rsidR="003A0DB3" w:rsidRPr="006C7D67" w:rsidRDefault="003A0DB3" w:rsidP="003A0DB3">
      <w:pPr>
        <w:pStyle w:val="BQLegstyle-1"/>
        <w:rPr>
          <w:lang w:eastAsia="en-NZ"/>
        </w:rPr>
      </w:pPr>
      <w:r w:rsidRPr="006C7D67">
        <w:rPr>
          <w:bdr w:val="none" w:sz="0" w:space="0" w:color="auto" w:frame="1"/>
          <w:lang w:eastAsia="en-NZ"/>
        </w:rPr>
        <w:t>(3A)</w:t>
      </w:r>
      <w:r>
        <w:rPr>
          <w:bdr w:val="none" w:sz="0" w:space="0" w:color="auto" w:frame="1"/>
          <w:lang w:eastAsia="en-NZ"/>
        </w:rPr>
        <w:t xml:space="preserve"> </w:t>
      </w:r>
      <w:r>
        <w:rPr>
          <w:bdr w:val="none" w:sz="0" w:space="0" w:color="auto" w:frame="1"/>
          <w:lang w:eastAsia="en-NZ"/>
        </w:rPr>
        <w:tab/>
      </w:r>
      <w:r w:rsidRPr="006C7D67">
        <w:rPr>
          <w:lang w:eastAsia="en-NZ"/>
        </w:rPr>
        <w:t>In any proceeding or process,—</w:t>
      </w:r>
    </w:p>
    <w:p w:rsidR="003A0DB3" w:rsidRPr="006C7D67" w:rsidRDefault="003A0DB3" w:rsidP="003A0DB3">
      <w:pPr>
        <w:pStyle w:val="BQLegstyle-a"/>
        <w:rPr>
          <w:lang w:eastAsia="en-NZ"/>
        </w:rPr>
      </w:pPr>
      <w:r w:rsidRPr="006C7D67">
        <w:rPr>
          <w:sz w:val="20"/>
          <w:szCs w:val="20"/>
          <w:bdr w:val="none" w:sz="0" w:space="0" w:color="auto" w:frame="1"/>
          <w:lang w:eastAsia="en-NZ"/>
        </w:rPr>
        <w:t>(a)</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the persons listed in subsection (3)</w:t>
      </w:r>
      <w:r w:rsidRPr="006C7D67">
        <w:rPr>
          <w:rFonts w:ascii="Tahoma" w:hAnsi="Tahoma" w:cs="Tahoma"/>
          <w:lang w:eastAsia="en-NZ"/>
        </w:rPr>
        <w:t>﻿</w:t>
      </w:r>
      <w:r w:rsidRPr="006C7D67">
        <w:rPr>
          <w:lang w:eastAsia="en-NZ"/>
        </w:rPr>
        <w:t>(a) to (d) must perform the duty imposed by subsection (2)</w:t>
      </w:r>
      <w:r w:rsidRPr="006C7D67">
        <w:rPr>
          <w:rFonts w:ascii="Tahoma" w:hAnsi="Tahoma" w:cs="Tahoma"/>
          <w:lang w:eastAsia="en-NZ"/>
        </w:rPr>
        <w:t>﻿</w:t>
      </w:r>
      <w:r w:rsidRPr="006C7D67">
        <w:rPr>
          <w:lang w:eastAsia="en-NZ"/>
        </w:rPr>
        <w:t>(d); and</w:t>
      </w:r>
    </w:p>
    <w:p w:rsidR="003A0DB3" w:rsidRPr="006C7D67" w:rsidRDefault="003A0DB3" w:rsidP="003A0DB3">
      <w:pPr>
        <w:pStyle w:val="BQLegstyle-a"/>
        <w:rPr>
          <w:lang w:eastAsia="en-NZ"/>
        </w:rPr>
      </w:pPr>
      <w:r w:rsidRPr="006C7D67">
        <w:rPr>
          <w:sz w:val="20"/>
          <w:szCs w:val="20"/>
          <w:bdr w:val="none" w:sz="0" w:space="0" w:color="auto" w:frame="1"/>
          <w:lang w:eastAsia="en-NZ"/>
        </w:rPr>
        <w:t>(b)</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decision-makers must perform the duty imposed by subsection (2)</w:t>
      </w:r>
      <w:r w:rsidRPr="006C7D67">
        <w:rPr>
          <w:rFonts w:ascii="Tahoma" w:hAnsi="Tahoma" w:cs="Tahoma"/>
          <w:lang w:eastAsia="en-NZ"/>
        </w:rPr>
        <w:t>﻿</w:t>
      </w:r>
      <w:r w:rsidRPr="006C7D67">
        <w:rPr>
          <w:lang w:eastAsia="en-NZ"/>
        </w:rPr>
        <w:t>(e); and</w:t>
      </w:r>
    </w:p>
    <w:p w:rsidR="003A0DB3" w:rsidRPr="006C7D67" w:rsidRDefault="003A0DB3" w:rsidP="003A0DB3">
      <w:pPr>
        <w:pStyle w:val="BQLegstyle-a"/>
        <w:rPr>
          <w:lang w:eastAsia="en-NZ"/>
        </w:rPr>
      </w:pPr>
      <w:r w:rsidRPr="006C7D67">
        <w:rPr>
          <w:sz w:val="20"/>
          <w:szCs w:val="20"/>
          <w:bdr w:val="none" w:sz="0" w:space="0" w:color="auto" w:frame="1"/>
          <w:lang w:eastAsia="en-NZ"/>
        </w:rPr>
        <w:t>(c)</w:t>
      </w:r>
      <w:r>
        <w:rPr>
          <w:sz w:val="20"/>
          <w:szCs w:val="20"/>
          <w:bdr w:val="none" w:sz="0" w:space="0" w:color="auto" w:frame="1"/>
          <w:lang w:eastAsia="en-NZ"/>
        </w:rPr>
        <w:t xml:space="preserve"> </w:t>
      </w:r>
      <w:r>
        <w:rPr>
          <w:sz w:val="20"/>
          <w:szCs w:val="20"/>
          <w:bdr w:val="none" w:sz="0" w:space="0" w:color="auto" w:frame="1"/>
          <w:lang w:eastAsia="en-NZ"/>
        </w:rPr>
        <w:tab/>
      </w:r>
      <w:r w:rsidRPr="006C7D67">
        <w:rPr>
          <w:lang w:eastAsia="en-NZ"/>
        </w:rPr>
        <w:t>decision-makers must perform the duty imposed by subsection (2)</w:t>
      </w:r>
      <w:r w:rsidRPr="006C7D67">
        <w:rPr>
          <w:rFonts w:ascii="Tahoma" w:hAnsi="Tahoma" w:cs="Tahoma"/>
          <w:lang w:eastAsia="en-NZ"/>
        </w:rPr>
        <w:t>﻿</w:t>
      </w:r>
      <w:r w:rsidRPr="006C7D67">
        <w:rPr>
          <w:lang w:eastAsia="en-NZ"/>
        </w:rPr>
        <w:t>(f) or, within a reasonable period following the making of a decision, satisfy themselves that the duty has been performed by another person</w:t>
      </w:r>
      <w:r>
        <w:rPr>
          <w:lang w:eastAsia="en-NZ"/>
        </w:rPr>
        <w:t>..</w:t>
      </w:r>
      <w:r w:rsidRPr="006C7D67">
        <w:rPr>
          <w:lang w:eastAsia="en-NZ"/>
        </w:rPr>
        <w:t>.</w:t>
      </w:r>
      <w:r>
        <w:rPr>
          <w:bdr w:val="none" w:sz="0" w:space="0" w:color="auto" w:frame="1"/>
          <w:lang w:eastAsia="en-NZ"/>
        </w:rPr>
        <w:t xml:space="preserve"> </w:t>
      </w:r>
      <w:r>
        <w:rPr>
          <w:bdr w:val="none" w:sz="0" w:space="0" w:color="auto" w:frame="1"/>
          <w:lang w:eastAsia="en-NZ"/>
        </w:rPr>
        <w:tab/>
      </w:r>
    </w:p>
    <w:p w:rsidR="003A0DB3" w:rsidRPr="006C7D67" w:rsidRDefault="003A0DB3" w:rsidP="003A0DB3">
      <w:pPr>
        <w:pStyle w:val="BQLegstyle-10"/>
        <w:rPr>
          <w:lang w:eastAsia="en-NZ"/>
        </w:rPr>
      </w:pPr>
      <w:r w:rsidRPr="006C7D67">
        <w:rPr>
          <w:bdr w:val="none" w:sz="0" w:space="0" w:color="auto" w:frame="1"/>
          <w:lang w:eastAsia="en-NZ"/>
        </w:rPr>
        <w:t>15</w:t>
      </w:r>
      <w:r>
        <w:rPr>
          <w:bdr w:val="none" w:sz="0" w:space="0" w:color="auto" w:frame="1"/>
          <w:lang w:eastAsia="en-NZ"/>
        </w:rPr>
        <w:t xml:space="preserve"> </w:t>
      </w:r>
      <w:r w:rsidRPr="006C7D67">
        <w:rPr>
          <w:lang w:eastAsia="en-NZ"/>
        </w:rPr>
        <w:t>Reporting of concerns to chief executive or constable</w:t>
      </w:r>
    </w:p>
    <w:p w:rsidR="003A0DB3" w:rsidRPr="006C7D67" w:rsidRDefault="003A0DB3" w:rsidP="003A0DB3">
      <w:pPr>
        <w:pStyle w:val="BQLegindent1"/>
        <w:rPr>
          <w:lang w:eastAsia="en-NZ"/>
        </w:rPr>
      </w:pPr>
      <w:r w:rsidRPr="006C7D67">
        <w:rPr>
          <w:lang w:eastAsia="en-NZ"/>
        </w:rPr>
        <w:t>Any person who believes that a child or young person has been, or is likely to be, harmed, ill-treated, abused, (whether physically, emotionally, or sexually), neglected, or deprived, or who has concerns about the well-being of a child or young person, may report the matter to the chief executive</w:t>
      </w:r>
      <w:r>
        <w:rPr>
          <w:lang w:eastAsia="en-NZ"/>
        </w:rPr>
        <w:t xml:space="preserve"> [of Oranga Tamariki]</w:t>
      </w:r>
      <w:r w:rsidRPr="006C7D67">
        <w:rPr>
          <w:lang w:eastAsia="en-NZ"/>
        </w:rPr>
        <w:t xml:space="preserve"> or a constable.</w:t>
      </w:r>
    </w:p>
    <w:p w:rsidR="003A0DB3" w:rsidRPr="00881717" w:rsidRDefault="003A0DB3" w:rsidP="003A0DB3">
      <w:pPr>
        <w:pStyle w:val="BQLegstyle-10"/>
        <w:rPr>
          <w:lang w:eastAsia="en-NZ"/>
        </w:rPr>
      </w:pPr>
      <w:r w:rsidRPr="00881717">
        <w:rPr>
          <w:bdr w:val="none" w:sz="0" w:space="0" w:color="auto" w:frame="1"/>
          <w:lang w:eastAsia="en-NZ"/>
        </w:rPr>
        <w:t>17</w:t>
      </w:r>
      <w:r>
        <w:rPr>
          <w:bdr w:val="none" w:sz="0" w:space="0" w:color="auto" w:frame="1"/>
          <w:lang w:eastAsia="en-NZ"/>
        </w:rPr>
        <w:t xml:space="preserve"> </w:t>
      </w:r>
      <w:r w:rsidRPr="00881717">
        <w:rPr>
          <w:lang w:eastAsia="en-NZ"/>
        </w:rPr>
        <w:t>Investigation of report of ill-treatment or neglect of child or young person</w:t>
      </w:r>
    </w:p>
    <w:p w:rsidR="003A0DB3" w:rsidRPr="00881717" w:rsidRDefault="003A0DB3" w:rsidP="003A0DB3">
      <w:pPr>
        <w:pStyle w:val="BQLegstyle-1"/>
        <w:rPr>
          <w:lang w:eastAsia="en-NZ"/>
        </w:rPr>
      </w:pPr>
      <w:r w:rsidRPr="00881717">
        <w:rPr>
          <w:bdr w:val="none" w:sz="0" w:space="0" w:color="auto" w:frame="1"/>
          <w:lang w:eastAsia="en-NZ"/>
        </w:rPr>
        <w:t>(1)</w:t>
      </w:r>
      <w:r>
        <w:rPr>
          <w:bdr w:val="none" w:sz="0" w:space="0" w:color="auto" w:frame="1"/>
          <w:lang w:eastAsia="en-NZ"/>
        </w:rPr>
        <w:t xml:space="preserve"> </w:t>
      </w:r>
      <w:r>
        <w:rPr>
          <w:bdr w:val="none" w:sz="0" w:space="0" w:color="auto" w:frame="1"/>
          <w:lang w:eastAsia="en-NZ"/>
        </w:rPr>
        <w:tab/>
      </w:r>
      <w:r w:rsidRPr="00881717">
        <w:rPr>
          <w:lang w:eastAsia="en-NZ"/>
        </w:rPr>
        <w:t>If the chief executive or a constable receives a report under </w:t>
      </w:r>
      <w:bookmarkStart w:id="24" w:name="DLM149467"/>
      <w:r w:rsidRPr="00881717">
        <w:rPr>
          <w:lang w:eastAsia="en-NZ"/>
        </w:rPr>
        <w:fldChar w:fldCharType="begin"/>
      </w:r>
      <w:r w:rsidRPr="00881717">
        <w:rPr>
          <w:lang w:eastAsia="en-NZ"/>
        </w:rPr>
        <w:instrText xml:space="preserve"> HYPERLINK "https://www.legislation.govt.nz/act/public/1989/0024/latest/link.aspx?id=DLM149467" \l "DLM149467" </w:instrText>
      </w:r>
      <w:r w:rsidRPr="00881717">
        <w:rPr>
          <w:lang w:eastAsia="en-NZ"/>
        </w:rPr>
        <w:fldChar w:fldCharType="separate"/>
      </w:r>
      <w:r w:rsidRPr="00881717">
        <w:rPr>
          <w:color w:val="0000FF"/>
          <w:u w:val="single"/>
          <w:bdr w:val="none" w:sz="0" w:space="0" w:color="auto" w:frame="1"/>
          <w:lang w:eastAsia="en-NZ"/>
        </w:rPr>
        <w:t>section 15</w:t>
      </w:r>
      <w:r w:rsidRPr="00881717">
        <w:rPr>
          <w:lang w:eastAsia="en-NZ"/>
        </w:rPr>
        <w:fldChar w:fldCharType="end"/>
      </w:r>
      <w:bookmarkEnd w:id="24"/>
      <w:r w:rsidRPr="00881717">
        <w:rPr>
          <w:lang w:eastAsia="en-NZ"/>
        </w:rPr>
        <w:t> relating to a child or young person, </w:t>
      </w:r>
      <w:r w:rsidRPr="00881717">
        <w:rPr>
          <w:bdr w:val="none" w:sz="0" w:space="0" w:color="auto" w:frame="1"/>
          <w:lang w:eastAsia="en-NZ"/>
        </w:rPr>
        <w:t>they</w:t>
      </w:r>
      <w:r w:rsidRPr="00881717">
        <w:rPr>
          <w:lang w:eastAsia="en-NZ"/>
        </w:rPr>
        <w:t> must,—</w:t>
      </w:r>
    </w:p>
    <w:p w:rsidR="003A0DB3" w:rsidRPr="00881717" w:rsidRDefault="003A0DB3" w:rsidP="003A0DB3">
      <w:pPr>
        <w:pStyle w:val="BQLegstyle-a"/>
        <w:rPr>
          <w:lang w:eastAsia="en-NZ"/>
        </w:rPr>
      </w:pPr>
      <w:r w:rsidRPr="00881717">
        <w:rPr>
          <w:sz w:val="20"/>
          <w:szCs w:val="20"/>
          <w:bdr w:val="none" w:sz="0" w:space="0" w:color="auto" w:frame="1"/>
          <w:lang w:eastAsia="en-NZ"/>
        </w:rPr>
        <w:t>(a)</w:t>
      </w:r>
      <w:r>
        <w:rPr>
          <w:sz w:val="20"/>
          <w:szCs w:val="20"/>
          <w:bdr w:val="none" w:sz="0" w:space="0" w:color="auto" w:frame="1"/>
          <w:lang w:eastAsia="en-NZ"/>
        </w:rPr>
        <w:t xml:space="preserve"> </w:t>
      </w:r>
      <w:r>
        <w:rPr>
          <w:sz w:val="20"/>
          <w:szCs w:val="20"/>
          <w:bdr w:val="none" w:sz="0" w:space="0" w:color="auto" w:frame="1"/>
          <w:lang w:eastAsia="en-NZ"/>
        </w:rPr>
        <w:tab/>
      </w:r>
      <w:r w:rsidRPr="00881717">
        <w:rPr>
          <w:lang w:eastAsia="en-NZ"/>
        </w:rPr>
        <w:t>as soon as practicable after receiving the report, if it appears that an investigation is necessary or desirable, commence an investigation or arrange for an investigation to be commenced into the matters contained in the report to the extent that an investigation is necessary or desirable;</w:t>
      </w:r>
    </w:p>
    <w:p w:rsidR="003A0DB3" w:rsidRDefault="003A0DB3" w:rsidP="003A0DB3">
      <w:pPr>
        <w:pStyle w:val="BodyText"/>
      </w:pPr>
    </w:p>
    <w:bookmarkEnd w:id="1"/>
    <w:p w:rsidR="007B6633" w:rsidRDefault="007B6633" w:rsidP="007B6633">
      <w:pPr>
        <w:pStyle w:val="BodyText"/>
      </w:pPr>
    </w:p>
    <w:sectPr w:rsidR="007B6633" w:rsidSect="003077F9">
      <w:headerReference w:type="default" r:id="rId9"/>
      <w:footerReference w:type="default" r:id="rId10"/>
      <w:headerReference w:type="first" r:id="rId11"/>
      <w:footerReference w:type="first" r:id="rId12"/>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0C8" w:rsidRPr="00D45126" w:rsidRDefault="003330C8" w:rsidP="00554FCD">
      <w:pPr>
        <w:spacing w:after="0" w:line="240" w:lineRule="auto"/>
        <w:rPr>
          <w:color w:val="4D4D4D"/>
        </w:rPr>
      </w:pPr>
      <w:r w:rsidRPr="00D45126">
        <w:rPr>
          <w:color w:val="4D4D4D"/>
        </w:rPr>
        <w:separator/>
      </w:r>
    </w:p>
  </w:endnote>
  <w:endnote w:type="continuationSeparator" w:id="0">
    <w:p w:rsidR="003330C8" w:rsidRPr="00D45126" w:rsidRDefault="003330C8" w:rsidP="00554FCD">
      <w:pPr>
        <w:spacing w:after="0" w:line="240" w:lineRule="auto"/>
        <w:rPr>
          <w:color w:val="4D4D4D"/>
        </w:rPr>
      </w:pPr>
      <w:r w:rsidRPr="00D45126">
        <w:rPr>
          <w:color w:val="4D4D4D"/>
        </w:rPr>
        <w:continuationSeparator/>
      </w:r>
    </w:p>
  </w:endnote>
  <w:endnote w:type="continuationNotice" w:id="1">
    <w:p w:rsidR="003330C8" w:rsidRDefault="003330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CD" w:rsidRPr="0059155D" w:rsidRDefault="007C05CD" w:rsidP="0037562B">
    <w:pPr>
      <w:pStyle w:val="Footerline"/>
    </w:pPr>
  </w:p>
  <w:p w:rsidR="007C05CD" w:rsidRPr="0059155D" w:rsidRDefault="007C05CD" w:rsidP="0037562B">
    <w:pPr>
      <w:pStyle w:val="Footerline"/>
    </w:pPr>
  </w:p>
  <w:p w:rsidR="007C05CD" w:rsidRPr="005533D8" w:rsidRDefault="003330C8" w:rsidP="0037562B">
    <w:pPr>
      <w:pStyle w:val="Footer"/>
    </w:pPr>
    <w:r>
      <w:fldChar w:fldCharType="begin"/>
    </w:r>
    <w:r>
      <w:instrText xml:space="preserve"> DOCVARIABLE  dvShortText </w:instrText>
    </w:r>
    <w:r>
      <w:fldChar w:fldCharType="separate"/>
    </w:r>
    <w:r w:rsidR="00A155F3">
      <w:t>Opinion |</w:t>
    </w:r>
    <w:r>
      <w:fldChar w:fldCharType="end"/>
    </w:r>
    <w:r w:rsidR="007C05CD">
      <w:t xml:space="preserve"> Page </w:t>
    </w:r>
    <w:r w:rsidR="007C05CD" w:rsidRPr="00A32286">
      <w:rPr>
        <w:rStyle w:val="PageNumber"/>
      </w:rPr>
      <w:fldChar w:fldCharType="begin"/>
    </w:r>
    <w:r w:rsidR="007C05CD" w:rsidRPr="00A32286">
      <w:rPr>
        <w:rStyle w:val="PageNumber"/>
      </w:rPr>
      <w:instrText xml:space="preserve"> PAGE   \* MERGEFORMAT </w:instrText>
    </w:r>
    <w:r w:rsidR="007C05CD" w:rsidRPr="00A32286">
      <w:rPr>
        <w:rStyle w:val="PageNumber"/>
      </w:rPr>
      <w:fldChar w:fldCharType="separate"/>
    </w:r>
    <w:r w:rsidR="00A24025">
      <w:rPr>
        <w:rStyle w:val="PageNumber"/>
        <w:noProof/>
      </w:rPr>
      <w:t>14</w:t>
    </w:r>
    <w:r w:rsidR="007C05C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2B" w:rsidRPr="0059155D" w:rsidRDefault="006A762B" w:rsidP="00A951D7">
    <w:pPr>
      <w:pStyle w:val="Footerline"/>
    </w:pPr>
  </w:p>
  <w:p w:rsidR="006A762B" w:rsidRDefault="003330C8" w:rsidP="00A951D7">
    <w:pPr>
      <w:pStyle w:val="Footer"/>
    </w:pPr>
    <w:r>
      <w:fldChar w:fldCharType="begin"/>
    </w:r>
    <w:r>
      <w:instrText xml:space="preserve"> DOCVARIABLE  dvShortText </w:instrText>
    </w:r>
    <w:r>
      <w:fldChar w:fldCharType="separate"/>
    </w:r>
    <w:r w:rsidR="00A155F3">
      <w:t>Opinion |</w:t>
    </w:r>
    <w:r>
      <w:fldChar w:fldCharType="end"/>
    </w:r>
    <w:r w:rsidR="006A762B">
      <w:t xml:space="preserve"> Page </w:t>
    </w:r>
    <w:r w:rsidR="006A762B" w:rsidRPr="00A32286">
      <w:rPr>
        <w:rStyle w:val="PageNumber"/>
      </w:rPr>
      <w:fldChar w:fldCharType="begin"/>
    </w:r>
    <w:r w:rsidR="006A762B" w:rsidRPr="00A32286">
      <w:rPr>
        <w:rStyle w:val="PageNumber"/>
      </w:rPr>
      <w:instrText xml:space="preserve"> PAGE   \* MERGEFORMAT </w:instrText>
    </w:r>
    <w:r w:rsidR="006A762B" w:rsidRPr="00A32286">
      <w:rPr>
        <w:rStyle w:val="PageNumber"/>
      </w:rPr>
      <w:fldChar w:fldCharType="separate"/>
    </w:r>
    <w:r>
      <w:rPr>
        <w:rStyle w:val="PageNumber"/>
        <w:noProof/>
      </w:rPr>
      <w:t>1</w:t>
    </w:r>
    <w:r w:rsidR="006A762B"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0C8" w:rsidRPr="00D45126" w:rsidRDefault="003330C8" w:rsidP="00DB26C1">
      <w:pPr>
        <w:spacing w:after="0" w:line="240" w:lineRule="auto"/>
        <w:rPr>
          <w:color w:val="4D4D4D"/>
        </w:rPr>
      </w:pPr>
      <w:r w:rsidRPr="00D45126">
        <w:rPr>
          <w:color w:val="4D4D4D"/>
        </w:rPr>
        <w:separator/>
      </w:r>
    </w:p>
  </w:footnote>
  <w:footnote w:type="continuationSeparator" w:id="0">
    <w:p w:rsidR="003330C8" w:rsidRPr="00C14083" w:rsidRDefault="003330C8" w:rsidP="00554FCD">
      <w:pPr>
        <w:spacing w:after="0" w:line="240" w:lineRule="auto"/>
        <w:rPr>
          <w:color w:val="4D4D4D"/>
        </w:rPr>
      </w:pPr>
      <w:r w:rsidRPr="00C14083">
        <w:rPr>
          <w:color w:val="4D4D4D"/>
        </w:rPr>
        <w:continuationSeparator/>
      </w:r>
    </w:p>
  </w:footnote>
  <w:footnote w:type="continuationNotice" w:id="1">
    <w:p w:rsidR="003330C8" w:rsidRDefault="003330C8">
      <w:pPr>
        <w:spacing w:after="0" w:line="240" w:lineRule="auto"/>
      </w:pPr>
    </w:p>
  </w:footnote>
  <w:footnote w:id="2">
    <w:p w:rsidR="003A0DB3" w:rsidRDefault="003A0DB3" w:rsidP="003A0DB3">
      <w:pPr>
        <w:pStyle w:val="FootnoteText"/>
      </w:pPr>
      <w:r>
        <w:rPr>
          <w:rStyle w:val="FootnoteReference"/>
        </w:rPr>
        <w:footnoteRef/>
      </w:r>
      <w:r>
        <w:t xml:space="preserve"> </w:t>
      </w:r>
      <w:r>
        <w:tab/>
        <w:t xml:space="preserve">Section 17(1)(a): </w:t>
      </w:r>
      <w:hyperlink r:id="rId1" w:history="1">
        <w:r w:rsidRPr="006E58DD">
          <w:rPr>
            <w:rStyle w:val="Hyperlink"/>
          </w:rPr>
          <w:t>https://www.legislation.govt.nz/act/public/1989/0024/154.0/DLM149470.html</w:t>
        </w:r>
      </w:hyperlink>
      <w:r>
        <w:t xml:space="preserve"> </w:t>
      </w:r>
    </w:p>
  </w:footnote>
  <w:footnote w:id="3">
    <w:p w:rsidR="003A0DB3" w:rsidRDefault="003A0DB3" w:rsidP="003A0DB3">
      <w:pPr>
        <w:pStyle w:val="FootnoteText"/>
      </w:pPr>
      <w:r>
        <w:rPr>
          <w:rStyle w:val="FootnoteReference"/>
        </w:rPr>
        <w:footnoteRef/>
      </w:r>
      <w:r>
        <w:t xml:space="preserve"> </w:t>
      </w:r>
      <w:r>
        <w:tab/>
        <w:t>CYRAS is the online case recording system used by Oranga Tamariki.</w:t>
      </w:r>
    </w:p>
  </w:footnote>
  <w:footnote w:id="4">
    <w:p w:rsidR="003A0DB3" w:rsidRDefault="003A0DB3" w:rsidP="003A0DB3">
      <w:pPr>
        <w:pStyle w:val="FootnoteText"/>
      </w:pPr>
      <w:r>
        <w:rPr>
          <w:rStyle w:val="FootnoteReference"/>
        </w:rPr>
        <w:footnoteRef/>
      </w:r>
      <w:r>
        <w:t xml:space="preserve"> </w:t>
      </w:r>
      <w:r>
        <w:tab/>
        <w:t xml:space="preserve">Guidance: </w:t>
      </w:r>
      <w:hyperlink r:id="rId2" w:history="1">
        <w:r>
          <w:rPr>
            <w:rStyle w:val="Hyperlink"/>
          </w:rPr>
          <w:t>Initial assessment phase</w:t>
        </w:r>
      </w:hyperlink>
      <w:r>
        <w:t xml:space="preserve">; Practice tool: </w:t>
      </w:r>
      <w:hyperlink r:id="rId3" w:history="1">
        <w:r>
          <w:rPr>
            <w:rStyle w:val="Hyperlink"/>
          </w:rPr>
          <w:t>Report of concern response pathway</w:t>
        </w:r>
      </w:hyperlink>
      <w:r>
        <w:t xml:space="preserve"> </w:t>
      </w:r>
    </w:p>
  </w:footnote>
  <w:footnote w:id="5">
    <w:p w:rsidR="003A0DB3" w:rsidRDefault="003A0DB3" w:rsidP="003A0DB3">
      <w:pPr>
        <w:pStyle w:val="FootnoteText"/>
      </w:pPr>
      <w:r>
        <w:rPr>
          <w:rStyle w:val="FootnoteReference"/>
        </w:rPr>
        <w:footnoteRef/>
      </w:r>
      <w:r>
        <w:t xml:space="preserve"> </w:t>
      </w:r>
      <w:r>
        <w:tab/>
        <w:t xml:space="preserve">Practice tool: </w:t>
      </w:r>
      <w:hyperlink r:id="rId4" w:anchor="what-is-the-safety-and-risk-screen" w:history="1">
        <w:r>
          <w:rPr>
            <w:rStyle w:val="Hyperlink"/>
          </w:rPr>
          <w:t>Safety and risk screen</w:t>
        </w:r>
      </w:hyperlink>
    </w:p>
  </w:footnote>
  <w:footnote w:id="6">
    <w:p w:rsidR="003A0DB3" w:rsidRDefault="003A0DB3" w:rsidP="003A0DB3">
      <w:pPr>
        <w:pStyle w:val="FootnoteText"/>
      </w:pPr>
      <w:r>
        <w:rPr>
          <w:rStyle w:val="FootnoteReference"/>
        </w:rPr>
        <w:footnoteRef/>
      </w:r>
      <w:r>
        <w:t xml:space="preserve"> </w:t>
      </w:r>
      <w:r>
        <w:tab/>
        <w:t xml:space="preserve">The pathway rationale records Oranga Tamariki’s decision on a report of concern, following the initial phase of assessment. </w:t>
      </w:r>
    </w:p>
  </w:footnote>
  <w:footnote w:id="7">
    <w:p w:rsidR="003A0DB3" w:rsidRDefault="003A0DB3" w:rsidP="003A0DB3">
      <w:pPr>
        <w:pStyle w:val="FootnoteText"/>
      </w:pPr>
      <w:r>
        <w:rPr>
          <w:rStyle w:val="FootnoteReference"/>
        </w:rPr>
        <w:footnoteRef/>
      </w:r>
      <w:r>
        <w:t xml:space="preserve"> </w:t>
      </w:r>
      <w:r>
        <w:tab/>
        <w:t xml:space="preserve">Section 17(1)(a): </w:t>
      </w:r>
      <w:hyperlink r:id="rId5" w:history="1">
        <w:r w:rsidR="003266E9" w:rsidRPr="004615C6">
          <w:rPr>
            <w:rStyle w:val="Hyperlink"/>
          </w:rPr>
          <w:t>https://www.legislation.govt.nz/act/public/1989/0024/154.0/DLM149470.html</w:t>
        </w:r>
      </w:hyperlink>
      <w:r w:rsidR="003266E9">
        <w:t xml:space="preserve"> </w:t>
      </w:r>
    </w:p>
  </w:footnote>
  <w:footnote w:id="8">
    <w:p w:rsidR="003A0DB3" w:rsidRDefault="003A0DB3" w:rsidP="003A0DB3">
      <w:pPr>
        <w:pStyle w:val="FootnoteText"/>
      </w:pPr>
      <w:r>
        <w:rPr>
          <w:rStyle w:val="FootnoteReference"/>
        </w:rPr>
        <w:footnoteRef/>
      </w:r>
      <w:r>
        <w:t xml:space="preserve"> </w:t>
      </w:r>
      <w:r>
        <w:tab/>
        <w:t xml:space="preserve">Section 4A: </w:t>
      </w:r>
      <w:hyperlink r:id="rId6" w:history="1">
        <w:r>
          <w:rPr>
            <w:rStyle w:val="Hyperlink"/>
          </w:rPr>
          <w:t>https://www.legislation.govt.nz/act/public/1989/0024/154.0/LMS216298.html</w:t>
        </w:r>
      </w:hyperlink>
      <w:r>
        <w:t xml:space="preserve"> </w:t>
      </w:r>
    </w:p>
  </w:footnote>
  <w:footnote w:id="9">
    <w:p w:rsidR="003A0DB3" w:rsidRDefault="003A0DB3" w:rsidP="003A0DB3">
      <w:pPr>
        <w:pStyle w:val="FootnoteText"/>
      </w:pPr>
      <w:r>
        <w:rPr>
          <w:rStyle w:val="FootnoteReference"/>
        </w:rPr>
        <w:footnoteRef/>
      </w:r>
      <w:r>
        <w:t xml:space="preserve"> </w:t>
      </w:r>
      <w:r>
        <w:tab/>
        <w:t xml:space="preserve">Section 5: </w:t>
      </w:r>
      <w:hyperlink r:id="rId7" w:history="1">
        <w:r>
          <w:rPr>
            <w:rStyle w:val="Hyperlink"/>
          </w:rPr>
          <w:t>https://www.legislation.govt.nz/act/public/1989/0024/154.0/DLM149440.html</w:t>
        </w:r>
      </w:hyperlink>
      <w:r>
        <w:t xml:space="preserve">  </w:t>
      </w:r>
    </w:p>
  </w:footnote>
  <w:footnote w:id="10">
    <w:p w:rsidR="003A0DB3" w:rsidRDefault="003A0DB3" w:rsidP="003A0DB3">
      <w:pPr>
        <w:pStyle w:val="FootnoteText"/>
      </w:pPr>
      <w:r>
        <w:rPr>
          <w:rStyle w:val="FootnoteReference"/>
        </w:rPr>
        <w:footnoteRef/>
      </w:r>
      <w:r>
        <w:t xml:space="preserve"> </w:t>
      </w:r>
      <w:r>
        <w:tab/>
        <w:t xml:space="preserve">Section 11: </w:t>
      </w:r>
      <w:hyperlink r:id="rId8" w:history="1">
        <w:r>
          <w:rPr>
            <w:rStyle w:val="Hyperlink"/>
          </w:rPr>
          <w:t>https://www.legislation.govt.nz/act/public/1989/0024/154.0/DLM149450.html</w:t>
        </w:r>
      </w:hyperlink>
      <w:r>
        <w:t xml:space="preserve"> </w:t>
      </w:r>
    </w:p>
  </w:footnote>
  <w:footnote w:id="11">
    <w:p w:rsidR="003A0DB3" w:rsidRDefault="003A0DB3" w:rsidP="003A0DB3">
      <w:pPr>
        <w:pStyle w:val="FootnoteText"/>
      </w:pPr>
      <w:r>
        <w:rPr>
          <w:rStyle w:val="FootnoteReference"/>
        </w:rPr>
        <w:footnoteRef/>
      </w:r>
      <w:r>
        <w:t xml:space="preserve"> </w:t>
      </w:r>
      <w:r>
        <w:tab/>
        <w:t xml:space="preserve">Practice tool: </w:t>
      </w:r>
      <w:hyperlink r:id="rId9" w:history="1">
        <w:r>
          <w:rPr>
            <w:rStyle w:val="Hyperlink"/>
          </w:rPr>
          <w:t>Vulnerable infant practice triggers and disability practice triggers</w:t>
        </w:r>
      </w:hyperlink>
    </w:p>
  </w:footnote>
  <w:footnote w:id="12">
    <w:p w:rsidR="003A0DB3" w:rsidRDefault="003A0DB3" w:rsidP="003A0DB3">
      <w:pPr>
        <w:pStyle w:val="FootnoteText"/>
      </w:pPr>
      <w:r>
        <w:rPr>
          <w:rStyle w:val="FootnoteReference"/>
        </w:rPr>
        <w:footnoteRef/>
      </w:r>
      <w:r>
        <w:t xml:space="preserve"> </w:t>
      </w:r>
      <w:r>
        <w:tab/>
        <w:t xml:space="preserve">Section 15: </w:t>
      </w:r>
      <w:hyperlink r:id="rId10" w:history="1">
        <w:r>
          <w:rPr>
            <w:rStyle w:val="Hyperlink"/>
          </w:rPr>
          <w:t>https://www.legislation.govt.nz/act/public/1989/0024/154.0/DLM149467.html</w:t>
        </w:r>
      </w:hyperlink>
      <w:r>
        <w:t xml:space="preserve"> </w:t>
      </w:r>
    </w:p>
  </w:footnote>
  <w:footnote w:id="13">
    <w:p w:rsidR="003A0DB3" w:rsidRDefault="003A0DB3" w:rsidP="003A0DB3">
      <w:pPr>
        <w:pStyle w:val="FootnoteText"/>
      </w:pPr>
      <w:r>
        <w:rPr>
          <w:rStyle w:val="FootnoteReference"/>
        </w:rPr>
        <w:footnoteRef/>
      </w:r>
      <w:r>
        <w:t xml:space="preserve"> </w:t>
      </w:r>
      <w:r>
        <w:tab/>
        <w:t xml:space="preserve">Practice Centre: </w:t>
      </w:r>
      <w:hyperlink r:id="rId11" w:history="1">
        <w:r w:rsidRPr="006E58DD">
          <w:rPr>
            <w:rStyle w:val="Hyperlink"/>
          </w:rPr>
          <w:t>https://practice.orangatamariki.govt.nz/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0D" w:rsidRDefault="00032DF3" w:rsidP="00E77E8B">
    <w:pPr>
      <w:pStyle w:val="Headerportraitopinion"/>
      <w:rPr>
        <w:rStyle w:val="PageNumber"/>
      </w:rPr>
    </w:pPr>
    <w:r>
      <w:t xml:space="preserve">Office of the Ombudsman | </w:t>
    </w:r>
    <w:r w:rsidRPr="00DD54DF">
      <w:t>Tari o te Kaitiaki Mana Tangata</w:t>
    </w:r>
  </w:p>
  <w:p w:rsidR="00AB780D" w:rsidRDefault="003330C8" w:rsidP="005E12E6">
    <w:pPr>
      <w:pStyle w:val="Headerline"/>
    </w:pPr>
  </w:p>
  <w:p w:rsidR="00AB780D" w:rsidRDefault="003330C8" w:rsidP="002669EB">
    <w:pPr>
      <w:pStyle w:val="Whitespace"/>
    </w:pPr>
  </w:p>
  <w:p w:rsidR="00AB780D" w:rsidRDefault="003330C8" w:rsidP="002669EB">
    <w:pPr>
      <w:pStyle w:val="Whitespace"/>
    </w:pPr>
  </w:p>
  <w:p w:rsidR="00AB780D" w:rsidRDefault="003330C8" w:rsidP="002669EB">
    <w:pPr>
      <w:pStyle w:val="Whitespace"/>
    </w:pPr>
  </w:p>
  <w:p w:rsidR="00AB780D" w:rsidRPr="003C2059" w:rsidRDefault="003330C8" w:rsidP="002669EB">
    <w:pPr>
      <w:pStyle w:val="Whitespac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15" w:rsidRDefault="00CE74D2">
    <w:pPr>
      <w:pStyle w:val="Header"/>
    </w:pPr>
    <w:r>
      <w:rPr>
        <w:noProof/>
        <w:lang w:eastAsia="en-NZ"/>
      </w:rPr>
      <w:drawing>
        <wp:anchor distT="0" distB="0" distL="114300" distR="114300" simplePos="0" relativeHeight="251659264" behindDoc="1" locked="0" layoutInCell="1" allowOverlap="1">
          <wp:simplePos x="0" y="0"/>
          <wp:positionH relativeFrom="column">
            <wp:posOffset>-53975</wp:posOffset>
          </wp:positionH>
          <wp:positionV relativeFrom="page">
            <wp:posOffset>431800</wp:posOffset>
          </wp:positionV>
          <wp:extent cx="5960745" cy="1371600"/>
          <wp:effectExtent l="0" t="0" r="1905" b="0"/>
          <wp:wrapNone/>
          <wp:docPr id="1" name="Picture 0" title="Office of the Ombudsman Opinion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1"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2"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6"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0"/>
  </w:num>
  <w:num w:numId="5">
    <w:abstractNumId w:val="5"/>
  </w:num>
  <w:num w:numId="6">
    <w:abstractNumId w:val="18"/>
  </w:num>
  <w:num w:numId="7">
    <w:abstractNumId w:val="12"/>
  </w:num>
  <w:num w:numId="8">
    <w:abstractNumId w:val="25"/>
  </w:num>
  <w:num w:numId="9">
    <w:abstractNumId w:val="24"/>
  </w:num>
  <w:num w:numId="10">
    <w:abstractNumId w:val="16"/>
  </w:num>
  <w:num w:numId="11">
    <w:abstractNumId w:val="8"/>
  </w:num>
  <w:num w:numId="12">
    <w:abstractNumId w:val="10"/>
  </w:num>
  <w:num w:numId="13">
    <w:abstractNumId w:val="23"/>
  </w:num>
  <w:num w:numId="14">
    <w:abstractNumId w:val="11"/>
  </w:num>
  <w:num w:numId="15">
    <w:abstractNumId w:val="7"/>
  </w:num>
  <w:num w:numId="16">
    <w:abstractNumId w:val="9"/>
  </w:num>
  <w:num w:numId="17">
    <w:abstractNumId w:val="6"/>
  </w:num>
  <w:num w:numId="18">
    <w:abstractNumId w:val="21"/>
  </w:num>
  <w:num w:numId="19">
    <w:abstractNumId w:val="17"/>
  </w:num>
  <w:num w:numId="20">
    <w:abstractNumId w:val="22"/>
  </w:num>
  <w:num w:numId="21">
    <w:abstractNumId w:val="14"/>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13"/>
  </w:num>
  <w:num w:numId="27">
    <w:abstractNumId w:val="15"/>
  </w:num>
  <w:num w:numId="28">
    <w:abstractNumId w:val="7"/>
  </w:num>
  <w:num w:numId="29">
    <w:abstractNumId w:val="9"/>
  </w:num>
  <w:num w:numId="30">
    <w:abstractNumId w:val="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
    <w:docVar w:name="dvShortTextFrm" w:val="Opinion"/>
    <w:docVar w:name="IsfirstTb" w:val="False"/>
    <w:docVar w:name="IsInTable" w:val="True"/>
    <w:docVar w:name="IsLetter" w:val="-1"/>
    <w:docVar w:name="OOTOTemplate" w:val="OOTO Opinions\SA Opinion Final.dotm"/>
    <w:docVar w:name="SAOpinionFinal" w:val="Opinions\SA Opinion Final.dotm"/>
  </w:docVars>
  <w:rsids>
    <w:rsidRoot w:val="003A0DB3"/>
    <w:rsid w:val="00002E2B"/>
    <w:rsid w:val="0000771B"/>
    <w:rsid w:val="00011B25"/>
    <w:rsid w:val="000123E7"/>
    <w:rsid w:val="00013791"/>
    <w:rsid w:val="00015C4E"/>
    <w:rsid w:val="00021382"/>
    <w:rsid w:val="00024F53"/>
    <w:rsid w:val="000253FE"/>
    <w:rsid w:val="00026A3B"/>
    <w:rsid w:val="00027FAB"/>
    <w:rsid w:val="000328E9"/>
    <w:rsid w:val="00032A75"/>
    <w:rsid w:val="00032DF3"/>
    <w:rsid w:val="000346BB"/>
    <w:rsid w:val="00035821"/>
    <w:rsid w:val="00036426"/>
    <w:rsid w:val="0004147C"/>
    <w:rsid w:val="00041615"/>
    <w:rsid w:val="00045FD7"/>
    <w:rsid w:val="000468C6"/>
    <w:rsid w:val="0004753C"/>
    <w:rsid w:val="0005011F"/>
    <w:rsid w:val="00050123"/>
    <w:rsid w:val="000503C0"/>
    <w:rsid w:val="000519CE"/>
    <w:rsid w:val="00052A80"/>
    <w:rsid w:val="00053114"/>
    <w:rsid w:val="00054478"/>
    <w:rsid w:val="00056790"/>
    <w:rsid w:val="00057C4D"/>
    <w:rsid w:val="0006163B"/>
    <w:rsid w:val="000617CA"/>
    <w:rsid w:val="000633B2"/>
    <w:rsid w:val="00065881"/>
    <w:rsid w:val="00075590"/>
    <w:rsid w:val="00081805"/>
    <w:rsid w:val="000822C8"/>
    <w:rsid w:val="0008407D"/>
    <w:rsid w:val="000844CF"/>
    <w:rsid w:val="0008668C"/>
    <w:rsid w:val="000929F9"/>
    <w:rsid w:val="00093C9D"/>
    <w:rsid w:val="00095E34"/>
    <w:rsid w:val="0009655D"/>
    <w:rsid w:val="000970C9"/>
    <w:rsid w:val="0009725E"/>
    <w:rsid w:val="00097B46"/>
    <w:rsid w:val="00097E3A"/>
    <w:rsid w:val="000A151A"/>
    <w:rsid w:val="000A274D"/>
    <w:rsid w:val="000A56A9"/>
    <w:rsid w:val="000B1E37"/>
    <w:rsid w:val="000B20AE"/>
    <w:rsid w:val="000B2B83"/>
    <w:rsid w:val="000B3B5C"/>
    <w:rsid w:val="000B43C3"/>
    <w:rsid w:val="000B5CE1"/>
    <w:rsid w:val="000C487C"/>
    <w:rsid w:val="000D12EF"/>
    <w:rsid w:val="000D3D97"/>
    <w:rsid w:val="000D4757"/>
    <w:rsid w:val="000D4F2E"/>
    <w:rsid w:val="000D50F7"/>
    <w:rsid w:val="000D5D85"/>
    <w:rsid w:val="000D6DA5"/>
    <w:rsid w:val="000D6FA6"/>
    <w:rsid w:val="000E06E5"/>
    <w:rsid w:val="000E077E"/>
    <w:rsid w:val="000E1316"/>
    <w:rsid w:val="000E2563"/>
    <w:rsid w:val="000E2C2F"/>
    <w:rsid w:val="000E7333"/>
    <w:rsid w:val="000F2A97"/>
    <w:rsid w:val="000F32C4"/>
    <w:rsid w:val="000F454C"/>
    <w:rsid w:val="000F4A8C"/>
    <w:rsid w:val="000F5D79"/>
    <w:rsid w:val="000F6DA6"/>
    <w:rsid w:val="000F6ECD"/>
    <w:rsid w:val="001055E8"/>
    <w:rsid w:val="00114C6B"/>
    <w:rsid w:val="001170E3"/>
    <w:rsid w:val="001312CD"/>
    <w:rsid w:val="001339E3"/>
    <w:rsid w:val="00134987"/>
    <w:rsid w:val="0013762F"/>
    <w:rsid w:val="00140996"/>
    <w:rsid w:val="00140C2C"/>
    <w:rsid w:val="00140DAC"/>
    <w:rsid w:val="00142056"/>
    <w:rsid w:val="0014620C"/>
    <w:rsid w:val="00146443"/>
    <w:rsid w:val="00146E80"/>
    <w:rsid w:val="00150AD4"/>
    <w:rsid w:val="001516A5"/>
    <w:rsid w:val="00151F5B"/>
    <w:rsid w:val="001527A7"/>
    <w:rsid w:val="001530A7"/>
    <w:rsid w:val="001535C0"/>
    <w:rsid w:val="00157212"/>
    <w:rsid w:val="00157E61"/>
    <w:rsid w:val="00160E82"/>
    <w:rsid w:val="001645A3"/>
    <w:rsid w:val="00164708"/>
    <w:rsid w:val="00165C96"/>
    <w:rsid w:val="00166C30"/>
    <w:rsid w:val="00166F78"/>
    <w:rsid w:val="001728E7"/>
    <w:rsid w:val="001753BE"/>
    <w:rsid w:val="00176249"/>
    <w:rsid w:val="00176743"/>
    <w:rsid w:val="0017697D"/>
    <w:rsid w:val="00181E25"/>
    <w:rsid w:val="001822E3"/>
    <w:rsid w:val="00186A52"/>
    <w:rsid w:val="00186B0F"/>
    <w:rsid w:val="001870AA"/>
    <w:rsid w:val="001872A2"/>
    <w:rsid w:val="00190A34"/>
    <w:rsid w:val="00191914"/>
    <w:rsid w:val="001922D6"/>
    <w:rsid w:val="00194280"/>
    <w:rsid w:val="001944D8"/>
    <w:rsid w:val="00195707"/>
    <w:rsid w:val="001976DE"/>
    <w:rsid w:val="001A4C19"/>
    <w:rsid w:val="001A7580"/>
    <w:rsid w:val="001D0121"/>
    <w:rsid w:val="001D1D80"/>
    <w:rsid w:val="001D36D5"/>
    <w:rsid w:val="001D5022"/>
    <w:rsid w:val="001D5EFC"/>
    <w:rsid w:val="001D6A46"/>
    <w:rsid w:val="001D7718"/>
    <w:rsid w:val="001E067E"/>
    <w:rsid w:val="001E16D0"/>
    <w:rsid w:val="001E346B"/>
    <w:rsid w:val="001E44D3"/>
    <w:rsid w:val="001E615D"/>
    <w:rsid w:val="001F0B73"/>
    <w:rsid w:val="001F0C1C"/>
    <w:rsid w:val="001F14C5"/>
    <w:rsid w:val="001F20AE"/>
    <w:rsid w:val="001F2317"/>
    <w:rsid w:val="001F5B67"/>
    <w:rsid w:val="00200015"/>
    <w:rsid w:val="002041DD"/>
    <w:rsid w:val="00204A55"/>
    <w:rsid w:val="0020532E"/>
    <w:rsid w:val="00205F3A"/>
    <w:rsid w:val="002060B9"/>
    <w:rsid w:val="002063C3"/>
    <w:rsid w:val="00206EDA"/>
    <w:rsid w:val="00210459"/>
    <w:rsid w:val="00210648"/>
    <w:rsid w:val="0021064F"/>
    <w:rsid w:val="002107C6"/>
    <w:rsid w:val="00213291"/>
    <w:rsid w:val="002172EF"/>
    <w:rsid w:val="00217F95"/>
    <w:rsid w:val="00220455"/>
    <w:rsid w:val="0022246B"/>
    <w:rsid w:val="00222EA0"/>
    <w:rsid w:val="00224421"/>
    <w:rsid w:val="002253EB"/>
    <w:rsid w:val="002253FE"/>
    <w:rsid w:val="0022795A"/>
    <w:rsid w:val="00230544"/>
    <w:rsid w:val="0023071A"/>
    <w:rsid w:val="00230AD4"/>
    <w:rsid w:val="00230FF4"/>
    <w:rsid w:val="00231621"/>
    <w:rsid w:val="0024019E"/>
    <w:rsid w:val="00242003"/>
    <w:rsid w:val="00242675"/>
    <w:rsid w:val="00243BE7"/>
    <w:rsid w:val="00245ACC"/>
    <w:rsid w:val="00251456"/>
    <w:rsid w:val="00253466"/>
    <w:rsid w:val="0025406A"/>
    <w:rsid w:val="0025662E"/>
    <w:rsid w:val="00261FF0"/>
    <w:rsid w:val="002622E4"/>
    <w:rsid w:val="002634E3"/>
    <w:rsid w:val="00263663"/>
    <w:rsid w:val="00263C16"/>
    <w:rsid w:val="00266067"/>
    <w:rsid w:val="002669EB"/>
    <w:rsid w:val="002672AE"/>
    <w:rsid w:val="0027214C"/>
    <w:rsid w:val="00275989"/>
    <w:rsid w:val="00276122"/>
    <w:rsid w:val="00277E87"/>
    <w:rsid w:val="002819FD"/>
    <w:rsid w:val="00281BD9"/>
    <w:rsid w:val="00282478"/>
    <w:rsid w:val="00283493"/>
    <w:rsid w:val="00283CAD"/>
    <w:rsid w:val="002841A8"/>
    <w:rsid w:val="00284948"/>
    <w:rsid w:val="002851CC"/>
    <w:rsid w:val="00285259"/>
    <w:rsid w:val="00285438"/>
    <w:rsid w:val="00286BF4"/>
    <w:rsid w:val="00287045"/>
    <w:rsid w:val="002879A5"/>
    <w:rsid w:val="0029459C"/>
    <w:rsid w:val="00295101"/>
    <w:rsid w:val="002A13D3"/>
    <w:rsid w:val="002A1D84"/>
    <w:rsid w:val="002A5DEB"/>
    <w:rsid w:val="002A6877"/>
    <w:rsid w:val="002B0E1C"/>
    <w:rsid w:val="002B2E2F"/>
    <w:rsid w:val="002B319F"/>
    <w:rsid w:val="002B5274"/>
    <w:rsid w:val="002B5352"/>
    <w:rsid w:val="002B5F42"/>
    <w:rsid w:val="002B60F7"/>
    <w:rsid w:val="002B6A20"/>
    <w:rsid w:val="002C4135"/>
    <w:rsid w:val="002C4624"/>
    <w:rsid w:val="002D00DA"/>
    <w:rsid w:val="002D09E7"/>
    <w:rsid w:val="002D1791"/>
    <w:rsid w:val="002D2AE9"/>
    <w:rsid w:val="002D45E5"/>
    <w:rsid w:val="002D4A7A"/>
    <w:rsid w:val="002D6E92"/>
    <w:rsid w:val="002E286D"/>
    <w:rsid w:val="002E5E14"/>
    <w:rsid w:val="002E6678"/>
    <w:rsid w:val="002E6845"/>
    <w:rsid w:val="002F5F1E"/>
    <w:rsid w:val="002F7076"/>
    <w:rsid w:val="002F7C95"/>
    <w:rsid w:val="003002CA"/>
    <w:rsid w:val="00301CC6"/>
    <w:rsid w:val="00305C3D"/>
    <w:rsid w:val="0030671B"/>
    <w:rsid w:val="0030763B"/>
    <w:rsid w:val="0031045C"/>
    <w:rsid w:val="00310D7C"/>
    <w:rsid w:val="0031404C"/>
    <w:rsid w:val="003173B4"/>
    <w:rsid w:val="00317D8B"/>
    <w:rsid w:val="00321D36"/>
    <w:rsid w:val="00324B0F"/>
    <w:rsid w:val="003266E9"/>
    <w:rsid w:val="00327CC8"/>
    <w:rsid w:val="003330C8"/>
    <w:rsid w:val="003347CD"/>
    <w:rsid w:val="00334EED"/>
    <w:rsid w:val="003374ED"/>
    <w:rsid w:val="003413C0"/>
    <w:rsid w:val="0034235C"/>
    <w:rsid w:val="00343A53"/>
    <w:rsid w:val="00344794"/>
    <w:rsid w:val="0034646F"/>
    <w:rsid w:val="00346BED"/>
    <w:rsid w:val="00346F30"/>
    <w:rsid w:val="003516B6"/>
    <w:rsid w:val="003550A3"/>
    <w:rsid w:val="003573FF"/>
    <w:rsid w:val="0036078D"/>
    <w:rsid w:val="00360FBD"/>
    <w:rsid w:val="003612FC"/>
    <w:rsid w:val="003639A5"/>
    <w:rsid w:val="00365DD8"/>
    <w:rsid w:val="00366821"/>
    <w:rsid w:val="00371579"/>
    <w:rsid w:val="00371B5E"/>
    <w:rsid w:val="00372946"/>
    <w:rsid w:val="00373DCE"/>
    <w:rsid w:val="003744D2"/>
    <w:rsid w:val="0037562B"/>
    <w:rsid w:val="0037669A"/>
    <w:rsid w:val="0037671D"/>
    <w:rsid w:val="0037745A"/>
    <w:rsid w:val="00381FBC"/>
    <w:rsid w:val="00383460"/>
    <w:rsid w:val="00385BCC"/>
    <w:rsid w:val="00385F42"/>
    <w:rsid w:val="0039142E"/>
    <w:rsid w:val="00393C44"/>
    <w:rsid w:val="00396770"/>
    <w:rsid w:val="003A0DB3"/>
    <w:rsid w:val="003A1465"/>
    <w:rsid w:val="003A2CBD"/>
    <w:rsid w:val="003A333E"/>
    <w:rsid w:val="003A4539"/>
    <w:rsid w:val="003A4EB3"/>
    <w:rsid w:val="003A66CC"/>
    <w:rsid w:val="003B1772"/>
    <w:rsid w:val="003B3DFC"/>
    <w:rsid w:val="003B46E7"/>
    <w:rsid w:val="003B7B2D"/>
    <w:rsid w:val="003C2059"/>
    <w:rsid w:val="003C25D3"/>
    <w:rsid w:val="003C6A07"/>
    <w:rsid w:val="003D139D"/>
    <w:rsid w:val="003D3692"/>
    <w:rsid w:val="003D4E8B"/>
    <w:rsid w:val="003D6F8C"/>
    <w:rsid w:val="003E1804"/>
    <w:rsid w:val="003E433B"/>
    <w:rsid w:val="003E4400"/>
    <w:rsid w:val="003E51DA"/>
    <w:rsid w:val="003E6107"/>
    <w:rsid w:val="003F0032"/>
    <w:rsid w:val="003F0594"/>
    <w:rsid w:val="003F3280"/>
    <w:rsid w:val="003F51A1"/>
    <w:rsid w:val="003F545E"/>
    <w:rsid w:val="003F69F6"/>
    <w:rsid w:val="003F788F"/>
    <w:rsid w:val="003F7B31"/>
    <w:rsid w:val="0040142C"/>
    <w:rsid w:val="00401D66"/>
    <w:rsid w:val="0040258A"/>
    <w:rsid w:val="00403475"/>
    <w:rsid w:val="004045DB"/>
    <w:rsid w:val="00404C91"/>
    <w:rsid w:val="00405E1E"/>
    <w:rsid w:val="00406000"/>
    <w:rsid w:val="004061BA"/>
    <w:rsid w:val="00407E21"/>
    <w:rsid w:val="00410181"/>
    <w:rsid w:val="00411A78"/>
    <w:rsid w:val="004125B2"/>
    <w:rsid w:val="00412919"/>
    <w:rsid w:val="00412CBA"/>
    <w:rsid w:val="00412FA7"/>
    <w:rsid w:val="00415696"/>
    <w:rsid w:val="004213E5"/>
    <w:rsid w:val="004217A6"/>
    <w:rsid w:val="00424DBC"/>
    <w:rsid w:val="004273B5"/>
    <w:rsid w:val="004302DE"/>
    <w:rsid w:val="004308E5"/>
    <w:rsid w:val="00431860"/>
    <w:rsid w:val="0043267C"/>
    <w:rsid w:val="00433038"/>
    <w:rsid w:val="00433F89"/>
    <w:rsid w:val="00435BEA"/>
    <w:rsid w:val="00436D7E"/>
    <w:rsid w:val="004378C0"/>
    <w:rsid w:val="0043790E"/>
    <w:rsid w:val="0044184E"/>
    <w:rsid w:val="00442610"/>
    <w:rsid w:val="00453A31"/>
    <w:rsid w:val="0045513C"/>
    <w:rsid w:val="00457A60"/>
    <w:rsid w:val="00467903"/>
    <w:rsid w:val="00470C10"/>
    <w:rsid w:val="00473905"/>
    <w:rsid w:val="00476879"/>
    <w:rsid w:val="0048238C"/>
    <w:rsid w:val="00483D96"/>
    <w:rsid w:val="004856CB"/>
    <w:rsid w:val="00490410"/>
    <w:rsid w:val="0049307E"/>
    <w:rsid w:val="004A2B8E"/>
    <w:rsid w:val="004A3DD0"/>
    <w:rsid w:val="004A5E3E"/>
    <w:rsid w:val="004A60D8"/>
    <w:rsid w:val="004A717A"/>
    <w:rsid w:val="004B23E4"/>
    <w:rsid w:val="004B26A1"/>
    <w:rsid w:val="004B3108"/>
    <w:rsid w:val="004B6762"/>
    <w:rsid w:val="004C748E"/>
    <w:rsid w:val="004D1A6E"/>
    <w:rsid w:val="004D3139"/>
    <w:rsid w:val="004D389E"/>
    <w:rsid w:val="004D5A1C"/>
    <w:rsid w:val="004D6360"/>
    <w:rsid w:val="004D79F1"/>
    <w:rsid w:val="004E3530"/>
    <w:rsid w:val="004E37DF"/>
    <w:rsid w:val="004F0849"/>
    <w:rsid w:val="004F143B"/>
    <w:rsid w:val="004F1A52"/>
    <w:rsid w:val="004F3E10"/>
    <w:rsid w:val="004F6D2D"/>
    <w:rsid w:val="004F7365"/>
    <w:rsid w:val="004F7ED0"/>
    <w:rsid w:val="0050076D"/>
    <w:rsid w:val="005039BB"/>
    <w:rsid w:val="00503E51"/>
    <w:rsid w:val="0050401D"/>
    <w:rsid w:val="005102D8"/>
    <w:rsid w:val="00510A54"/>
    <w:rsid w:val="00512CFD"/>
    <w:rsid w:val="00515585"/>
    <w:rsid w:val="00515C43"/>
    <w:rsid w:val="00517AD4"/>
    <w:rsid w:val="00520134"/>
    <w:rsid w:val="00520BEA"/>
    <w:rsid w:val="005221CD"/>
    <w:rsid w:val="005224C5"/>
    <w:rsid w:val="00523F16"/>
    <w:rsid w:val="00533D6F"/>
    <w:rsid w:val="005374C4"/>
    <w:rsid w:val="00537AEB"/>
    <w:rsid w:val="00537E97"/>
    <w:rsid w:val="005409E7"/>
    <w:rsid w:val="00540C66"/>
    <w:rsid w:val="005422DA"/>
    <w:rsid w:val="00546D65"/>
    <w:rsid w:val="00554FCD"/>
    <w:rsid w:val="00555824"/>
    <w:rsid w:val="00556B35"/>
    <w:rsid w:val="00561A18"/>
    <w:rsid w:val="005646D6"/>
    <w:rsid w:val="005661BE"/>
    <w:rsid w:val="005671A5"/>
    <w:rsid w:val="00570439"/>
    <w:rsid w:val="00570CA3"/>
    <w:rsid w:val="00572F85"/>
    <w:rsid w:val="005758E8"/>
    <w:rsid w:val="00575B60"/>
    <w:rsid w:val="005766D2"/>
    <w:rsid w:val="005772F4"/>
    <w:rsid w:val="005804D9"/>
    <w:rsid w:val="00580C51"/>
    <w:rsid w:val="005820EE"/>
    <w:rsid w:val="005830DE"/>
    <w:rsid w:val="00584050"/>
    <w:rsid w:val="00585B6A"/>
    <w:rsid w:val="0058607A"/>
    <w:rsid w:val="00591387"/>
    <w:rsid w:val="00591F22"/>
    <w:rsid w:val="00597043"/>
    <w:rsid w:val="005A0714"/>
    <w:rsid w:val="005A1D8F"/>
    <w:rsid w:val="005A2E1B"/>
    <w:rsid w:val="005A6666"/>
    <w:rsid w:val="005A7BC5"/>
    <w:rsid w:val="005B002C"/>
    <w:rsid w:val="005B1169"/>
    <w:rsid w:val="005B6756"/>
    <w:rsid w:val="005B7079"/>
    <w:rsid w:val="005C3EEE"/>
    <w:rsid w:val="005C4E90"/>
    <w:rsid w:val="005C4ED7"/>
    <w:rsid w:val="005C5FC6"/>
    <w:rsid w:val="005C62D6"/>
    <w:rsid w:val="005D1742"/>
    <w:rsid w:val="005D2353"/>
    <w:rsid w:val="005D30E7"/>
    <w:rsid w:val="005D4B7D"/>
    <w:rsid w:val="005D525E"/>
    <w:rsid w:val="005E12E6"/>
    <w:rsid w:val="005E1832"/>
    <w:rsid w:val="005E2932"/>
    <w:rsid w:val="005E388A"/>
    <w:rsid w:val="005E5810"/>
    <w:rsid w:val="005F1945"/>
    <w:rsid w:val="005F3842"/>
    <w:rsid w:val="005F43B4"/>
    <w:rsid w:val="005F6FCA"/>
    <w:rsid w:val="005F70F0"/>
    <w:rsid w:val="0060081D"/>
    <w:rsid w:val="006022BB"/>
    <w:rsid w:val="00604BDC"/>
    <w:rsid w:val="006077BF"/>
    <w:rsid w:val="00610FD3"/>
    <w:rsid w:val="00611199"/>
    <w:rsid w:val="00611625"/>
    <w:rsid w:val="00616CEE"/>
    <w:rsid w:val="00623669"/>
    <w:rsid w:val="0062506B"/>
    <w:rsid w:val="00625DAC"/>
    <w:rsid w:val="00625ED5"/>
    <w:rsid w:val="00626016"/>
    <w:rsid w:val="006272AA"/>
    <w:rsid w:val="00635505"/>
    <w:rsid w:val="00635C2F"/>
    <w:rsid w:val="00642FFE"/>
    <w:rsid w:val="00644B46"/>
    <w:rsid w:val="0064708D"/>
    <w:rsid w:val="00651313"/>
    <w:rsid w:val="00654469"/>
    <w:rsid w:val="00657D87"/>
    <w:rsid w:val="00660CB1"/>
    <w:rsid w:val="00663D2B"/>
    <w:rsid w:val="006643E3"/>
    <w:rsid w:val="00667764"/>
    <w:rsid w:val="0067015F"/>
    <w:rsid w:val="0067253D"/>
    <w:rsid w:val="0067318E"/>
    <w:rsid w:val="006747F0"/>
    <w:rsid w:val="00674C53"/>
    <w:rsid w:val="00681279"/>
    <w:rsid w:val="006820B3"/>
    <w:rsid w:val="00684E29"/>
    <w:rsid w:val="00685C26"/>
    <w:rsid w:val="0068637E"/>
    <w:rsid w:val="00691335"/>
    <w:rsid w:val="006A12AA"/>
    <w:rsid w:val="006A21F4"/>
    <w:rsid w:val="006A2D39"/>
    <w:rsid w:val="006A5545"/>
    <w:rsid w:val="006A5CB2"/>
    <w:rsid w:val="006A762B"/>
    <w:rsid w:val="006B1CD6"/>
    <w:rsid w:val="006B2725"/>
    <w:rsid w:val="006B44FF"/>
    <w:rsid w:val="006B5FF2"/>
    <w:rsid w:val="006B72A6"/>
    <w:rsid w:val="006C0124"/>
    <w:rsid w:val="006C0456"/>
    <w:rsid w:val="006C2202"/>
    <w:rsid w:val="006C3524"/>
    <w:rsid w:val="006C3811"/>
    <w:rsid w:val="006C4AE6"/>
    <w:rsid w:val="006D1417"/>
    <w:rsid w:val="006D17A0"/>
    <w:rsid w:val="006D190E"/>
    <w:rsid w:val="006D2120"/>
    <w:rsid w:val="006D508D"/>
    <w:rsid w:val="006D6399"/>
    <w:rsid w:val="006D764A"/>
    <w:rsid w:val="006E47E1"/>
    <w:rsid w:val="006E5E11"/>
    <w:rsid w:val="006F1828"/>
    <w:rsid w:val="006F1C9F"/>
    <w:rsid w:val="006F1D94"/>
    <w:rsid w:val="006F211B"/>
    <w:rsid w:val="007012C8"/>
    <w:rsid w:val="00703C65"/>
    <w:rsid w:val="00707451"/>
    <w:rsid w:val="00710492"/>
    <w:rsid w:val="00710CB9"/>
    <w:rsid w:val="00712C05"/>
    <w:rsid w:val="00713A64"/>
    <w:rsid w:val="00714679"/>
    <w:rsid w:val="00717A58"/>
    <w:rsid w:val="00724156"/>
    <w:rsid w:val="007250A9"/>
    <w:rsid w:val="00725A6F"/>
    <w:rsid w:val="0072665E"/>
    <w:rsid w:val="0073197D"/>
    <w:rsid w:val="007334A3"/>
    <w:rsid w:val="00733501"/>
    <w:rsid w:val="00733DAC"/>
    <w:rsid w:val="00733F97"/>
    <w:rsid w:val="00734E9C"/>
    <w:rsid w:val="00735E07"/>
    <w:rsid w:val="00736F2F"/>
    <w:rsid w:val="0073772C"/>
    <w:rsid w:val="00737B41"/>
    <w:rsid w:val="0074080E"/>
    <w:rsid w:val="00741C70"/>
    <w:rsid w:val="0074280B"/>
    <w:rsid w:val="00742F68"/>
    <w:rsid w:val="00743E91"/>
    <w:rsid w:val="0074662B"/>
    <w:rsid w:val="00746DB8"/>
    <w:rsid w:val="0074774E"/>
    <w:rsid w:val="00747B5E"/>
    <w:rsid w:val="007539DA"/>
    <w:rsid w:val="0075784F"/>
    <w:rsid w:val="00763D2B"/>
    <w:rsid w:val="00764C65"/>
    <w:rsid w:val="0076589F"/>
    <w:rsid w:val="007664CC"/>
    <w:rsid w:val="00773694"/>
    <w:rsid w:val="00774EB0"/>
    <w:rsid w:val="0077539A"/>
    <w:rsid w:val="00777829"/>
    <w:rsid w:val="0078036A"/>
    <w:rsid w:val="00780E27"/>
    <w:rsid w:val="00781F2B"/>
    <w:rsid w:val="0078388E"/>
    <w:rsid w:val="00785FE6"/>
    <w:rsid w:val="00790AAC"/>
    <w:rsid w:val="00797B9F"/>
    <w:rsid w:val="007A22F2"/>
    <w:rsid w:val="007A2720"/>
    <w:rsid w:val="007A6586"/>
    <w:rsid w:val="007A74A0"/>
    <w:rsid w:val="007B1BA2"/>
    <w:rsid w:val="007B1CD9"/>
    <w:rsid w:val="007B2558"/>
    <w:rsid w:val="007B2F10"/>
    <w:rsid w:val="007B3468"/>
    <w:rsid w:val="007B3896"/>
    <w:rsid w:val="007B4F3B"/>
    <w:rsid w:val="007B6633"/>
    <w:rsid w:val="007B7C76"/>
    <w:rsid w:val="007B7CA3"/>
    <w:rsid w:val="007C0209"/>
    <w:rsid w:val="007C0448"/>
    <w:rsid w:val="007C05CD"/>
    <w:rsid w:val="007C0F4C"/>
    <w:rsid w:val="007C111E"/>
    <w:rsid w:val="007C3BDA"/>
    <w:rsid w:val="007C679B"/>
    <w:rsid w:val="007C73F8"/>
    <w:rsid w:val="007D1BF8"/>
    <w:rsid w:val="007D2115"/>
    <w:rsid w:val="007D3CC1"/>
    <w:rsid w:val="007D7F49"/>
    <w:rsid w:val="007F0450"/>
    <w:rsid w:val="007F6F1F"/>
    <w:rsid w:val="00800219"/>
    <w:rsid w:val="00800429"/>
    <w:rsid w:val="00802414"/>
    <w:rsid w:val="00812748"/>
    <w:rsid w:val="00817C28"/>
    <w:rsid w:val="00820131"/>
    <w:rsid w:val="0082162B"/>
    <w:rsid w:val="00825420"/>
    <w:rsid w:val="00825D06"/>
    <w:rsid w:val="00827743"/>
    <w:rsid w:val="00830575"/>
    <w:rsid w:val="00830680"/>
    <w:rsid w:val="0083482B"/>
    <w:rsid w:val="008351A9"/>
    <w:rsid w:val="008351E6"/>
    <w:rsid w:val="00837EA6"/>
    <w:rsid w:val="008429D3"/>
    <w:rsid w:val="00843B31"/>
    <w:rsid w:val="0084415A"/>
    <w:rsid w:val="00844EE2"/>
    <w:rsid w:val="008462DD"/>
    <w:rsid w:val="00846D79"/>
    <w:rsid w:val="008471F0"/>
    <w:rsid w:val="00852BD0"/>
    <w:rsid w:val="00853802"/>
    <w:rsid w:val="00854501"/>
    <w:rsid w:val="00856063"/>
    <w:rsid w:val="00860B01"/>
    <w:rsid w:val="008651E0"/>
    <w:rsid w:val="00865287"/>
    <w:rsid w:val="008756F5"/>
    <w:rsid w:val="00877F8F"/>
    <w:rsid w:val="0088391A"/>
    <w:rsid w:val="008845EF"/>
    <w:rsid w:val="00884716"/>
    <w:rsid w:val="00884F71"/>
    <w:rsid w:val="0088754A"/>
    <w:rsid w:val="00891512"/>
    <w:rsid w:val="00891CE3"/>
    <w:rsid w:val="0089256C"/>
    <w:rsid w:val="008959C0"/>
    <w:rsid w:val="00897A67"/>
    <w:rsid w:val="008A6F74"/>
    <w:rsid w:val="008A7E03"/>
    <w:rsid w:val="008A7F68"/>
    <w:rsid w:val="008B050C"/>
    <w:rsid w:val="008B0D20"/>
    <w:rsid w:val="008B1687"/>
    <w:rsid w:val="008B1A1F"/>
    <w:rsid w:val="008B4AAA"/>
    <w:rsid w:val="008B61B7"/>
    <w:rsid w:val="008B76D2"/>
    <w:rsid w:val="008C08A0"/>
    <w:rsid w:val="008C1555"/>
    <w:rsid w:val="008C3437"/>
    <w:rsid w:val="008D0005"/>
    <w:rsid w:val="008D2544"/>
    <w:rsid w:val="008D2D01"/>
    <w:rsid w:val="008D3138"/>
    <w:rsid w:val="008D40CE"/>
    <w:rsid w:val="008D45C8"/>
    <w:rsid w:val="008D58AF"/>
    <w:rsid w:val="008D5E10"/>
    <w:rsid w:val="008D65A0"/>
    <w:rsid w:val="008E0636"/>
    <w:rsid w:val="008E178C"/>
    <w:rsid w:val="008E1959"/>
    <w:rsid w:val="008E1EF0"/>
    <w:rsid w:val="008E549A"/>
    <w:rsid w:val="008E6C86"/>
    <w:rsid w:val="008F0D4A"/>
    <w:rsid w:val="008F169B"/>
    <w:rsid w:val="008F17E0"/>
    <w:rsid w:val="008F51E2"/>
    <w:rsid w:val="008F5AFF"/>
    <w:rsid w:val="008F614F"/>
    <w:rsid w:val="008F6ED2"/>
    <w:rsid w:val="008F71EE"/>
    <w:rsid w:val="008F746D"/>
    <w:rsid w:val="008F7732"/>
    <w:rsid w:val="008F7BD1"/>
    <w:rsid w:val="009022AE"/>
    <w:rsid w:val="00903FCC"/>
    <w:rsid w:val="00905B0F"/>
    <w:rsid w:val="00906303"/>
    <w:rsid w:val="009135B5"/>
    <w:rsid w:val="00914223"/>
    <w:rsid w:val="00915103"/>
    <w:rsid w:val="009159CE"/>
    <w:rsid w:val="00917B47"/>
    <w:rsid w:val="009203C6"/>
    <w:rsid w:val="00921E03"/>
    <w:rsid w:val="00923ED7"/>
    <w:rsid w:val="00924238"/>
    <w:rsid w:val="0092445C"/>
    <w:rsid w:val="00924B07"/>
    <w:rsid w:val="009313B0"/>
    <w:rsid w:val="0093534C"/>
    <w:rsid w:val="00935540"/>
    <w:rsid w:val="00937E97"/>
    <w:rsid w:val="00942397"/>
    <w:rsid w:val="009438B5"/>
    <w:rsid w:val="00944B48"/>
    <w:rsid w:val="00945590"/>
    <w:rsid w:val="00946D1C"/>
    <w:rsid w:val="00947AB1"/>
    <w:rsid w:val="00947C30"/>
    <w:rsid w:val="00952B6D"/>
    <w:rsid w:val="009568F2"/>
    <w:rsid w:val="00956BD0"/>
    <w:rsid w:val="00960BF2"/>
    <w:rsid w:val="009612F4"/>
    <w:rsid w:val="00961627"/>
    <w:rsid w:val="009622AD"/>
    <w:rsid w:val="009629A4"/>
    <w:rsid w:val="009630A9"/>
    <w:rsid w:val="009639D4"/>
    <w:rsid w:val="00964095"/>
    <w:rsid w:val="00971D0C"/>
    <w:rsid w:val="009779D9"/>
    <w:rsid w:val="00984A8A"/>
    <w:rsid w:val="00991F34"/>
    <w:rsid w:val="00994393"/>
    <w:rsid w:val="00994CBB"/>
    <w:rsid w:val="009951D0"/>
    <w:rsid w:val="009A649F"/>
    <w:rsid w:val="009A7F84"/>
    <w:rsid w:val="009B0F63"/>
    <w:rsid w:val="009B267B"/>
    <w:rsid w:val="009B3A5A"/>
    <w:rsid w:val="009B3DB8"/>
    <w:rsid w:val="009B485F"/>
    <w:rsid w:val="009B49D2"/>
    <w:rsid w:val="009C1083"/>
    <w:rsid w:val="009C1890"/>
    <w:rsid w:val="009C2296"/>
    <w:rsid w:val="009C375B"/>
    <w:rsid w:val="009C3F08"/>
    <w:rsid w:val="009C41BB"/>
    <w:rsid w:val="009C4723"/>
    <w:rsid w:val="009C5D65"/>
    <w:rsid w:val="009C7B09"/>
    <w:rsid w:val="009D04FB"/>
    <w:rsid w:val="009D1384"/>
    <w:rsid w:val="009D1B7E"/>
    <w:rsid w:val="009D1F84"/>
    <w:rsid w:val="009D21D9"/>
    <w:rsid w:val="009D303F"/>
    <w:rsid w:val="009D3EF8"/>
    <w:rsid w:val="009E1285"/>
    <w:rsid w:val="009E4A24"/>
    <w:rsid w:val="009E54F3"/>
    <w:rsid w:val="009E5AA5"/>
    <w:rsid w:val="009E6716"/>
    <w:rsid w:val="009E78E3"/>
    <w:rsid w:val="009E7F73"/>
    <w:rsid w:val="009F000F"/>
    <w:rsid w:val="009F0237"/>
    <w:rsid w:val="009F40BC"/>
    <w:rsid w:val="009F4390"/>
    <w:rsid w:val="009F68AD"/>
    <w:rsid w:val="00A017A4"/>
    <w:rsid w:val="00A01A6C"/>
    <w:rsid w:val="00A01B68"/>
    <w:rsid w:val="00A01D53"/>
    <w:rsid w:val="00A01DA4"/>
    <w:rsid w:val="00A0341C"/>
    <w:rsid w:val="00A056A5"/>
    <w:rsid w:val="00A07234"/>
    <w:rsid w:val="00A13DA1"/>
    <w:rsid w:val="00A14DEB"/>
    <w:rsid w:val="00A155F3"/>
    <w:rsid w:val="00A230DE"/>
    <w:rsid w:val="00A23242"/>
    <w:rsid w:val="00A233C2"/>
    <w:rsid w:val="00A24025"/>
    <w:rsid w:val="00A30994"/>
    <w:rsid w:val="00A33C5A"/>
    <w:rsid w:val="00A34057"/>
    <w:rsid w:val="00A34706"/>
    <w:rsid w:val="00A34EE9"/>
    <w:rsid w:val="00A3640F"/>
    <w:rsid w:val="00A36CD0"/>
    <w:rsid w:val="00A372A2"/>
    <w:rsid w:val="00A4087E"/>
    <w:rsid w:val="00A40FFE"/>
    <w:rsid w:val="00A4113F"/>
    <w:rsid w:val="00A42729"/>
    <w:rsid w:val="00A4404F"/>
    <w:rsid w:val="00A442D7"/>
    <w:rsid w:val="00A44690"/>
    <w:rsid w:val="00A45CF2"/>
    <w:rsid w:val="00A47D0F"/>
    <w:rsid w:val="00A47F79"/>
    <w:rsid w:val="00A50DAD"/>
    <w:rsid w:val="00A5469F"/>
    <w:rsid w:val="00A567AD"/>
    <w:rsid w:val="00A57255"/>
    <w:rsid w:val="00A60734"/>
    <w:rsid w:val="00A62D46"/>
    <w:rsid w:val="00A6506D"/>
    <w:rsid w:val="00A660DB"/>
    <w:rsid w:val="00A66569"/>
    <w:rsid w:val="00A7093F"/>
    <w:rsid w:val="00A70EB7"/>
    <w:rsid w:val="00A70FA3"/>
    <w:rsid w:val="00A729BE"/>
    <w:rsid w:val="00A76991"/>
    <w:rsid w:val="00A77A1A"/>
    <w:rsid w:val="00A77D9D"/>
    <w:rsid w:val="00A800F7"/>
    <w:rsid w:val="00A80669"/>
    <w:rsid w:val="00A80F21"/>
    <w:rsid w:val="00A81ADF"/>
    <w:rsid w:val="00A8396B"/>
    <w:rsid w:val="00A83F11"/>
    <w:rsid w:val="00A855F0"/>
    <w:rsid w:val="00A862AB"/>
    <w:rsid w:val="00A9019D"/>
    <w:rsid w:val="00A908FB"/>
    <w:rsid w:val="00A9274A"/>
    <w:rsid w:val="00A9399D"/>
    <w:rsid w:val="00A968BA"/>
    <w:rsid w:val="00AA0F2A"/>
    <w:rsid w:val="00AA2A32"/>
    <w:rsid w:val="00AA3ABB"/>
    <w:rsid w:val="00AA3D81"/>
    <w:rsid w:val="00AA7176"/>
    <w:rsid w:val="00AA73B6"/>
    <w:rsid w:val="00AB34C3"/>
    <w:rsid w:val="00AB3608"/>
    <w:rsid w:val="00AB611E"/>
    <w:rsid w:val="00AB6894"/>
    <w:rsid w:val="00AC0259"/>
    <w:rsid w:val="00AC0A48"/>
    <w:rsid w:val="00AC1429"/>
    <w:rsid w:val="00AC16E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E7B09"/>
    <w:rsid w:val="00AF05F9"/>
    <w:rsid w:val="00AF175A"/>
    <w:rsid w:val="00AF288C"/>
    <w:rsid w:val="00AF2E47"/>
    <w:rsid w:val="00B01721"/>
    <w:rsid w:val="00B045BD"/>
    <w:rsid w:val="00B11D76"/>
    <w:rsid w:val="00B12F2E"/>
    <w:rsid w:val="00B12FAF"/>
    <w:rsid w:val="00B13A93"/>
    <w:rsid w:val="00B15375"/>
    <w:rsid w:val="00B163F1"/>
    <w:rsid w:val="00B170E0"/>
    <w:rsid w:val="00B17B5F"/>
    <w:rsid w:val="00B2207A"/>
    <w:rsid w:val="00B24803"/>
    <w:rsid w:val="00B25479"/>
    <w:rsid w:val="00B265E1"/>
    <w:rsid w:val="00B27BFA"/>
    <w:rsid w:val="00B3033C"/>
    <w:rsid w:val="00B31C12"/>
    <w:rsid w:val="00B331A2"/>
    <w:rsid w:val="00B337CF"/>
    <w:rsid w:val="00B337D0"/>
    <w:rsid w:val="00B35C03"/>
    <w:rsid w:val="00B35CC4"/>
    <w:rsid w:val="00B36654"/>
    <w:rsid w:val="00B37579"/>
    <w:rsid w:val="00B40B34"/>
    <w:rsid w:val="00B40E8C"/>
    <w:rsid w:val="00B4685E"/>
    <w:rsid w:val="00B52654"/>
    <w:rsid w:val="00B54EDA"/>
    <w:rsid w:val="00B57902"/>
    <w:rsid w:val="00B63803"/>
    <w:rsid w:val="00B63EF9"/>
    <w:rsid w:val="00B641D2"/>
    <w:rsid w:val="00B66DA1"/>
    <w:rsid w:val="00B66DB1"/>
    <w:rsid w:val="00B7053B"/>
    <w:rsid w:val="00B723A1"/>
    <w:rsid w:val="00B732D1"/>
    <w:rsid w:val="00B73950"/>
    <w:rsid w:val="00B7465C"/>
    <w:rsid w:val="00B75E1B"/>
    <w:rsid w:val="00B76433"/>
    <w:rsid w:val="00B84178"/>
    <w:rsid w:val="00B84424"/>
    <w:rsid w:val="00B85B09"/>
    <w:rsid w:val="00B8777C"/>
    <w:rsid w:val="00B877C9"/>
    <w:rsid w:val="00B903B0"/>
    <w:rsid w:val="00B9084D"/>
    <w:rsid w:val="00B92FD1"/>
    <w:rsid w:val="00B940E1"/>
    <w:rsid w:val="00B943B4"/>
    <w:rsid w:val="00B95A26"/>
    <w:rsid w:val="00B95F85"/>
    <w:rsid w:val="00B97F35"/>
    <w:rsid w:val="00BA07A0"/>
    <w:rsid w:val="00BA3E67"/>
    <w:rsid w:val="00BA755A"/>
    <w:rsid w:val="00BB0868"/>
    <w:rsid w:val="00BB1A2F"/>
    <w:rsid w:val="00BB7C00"/>
    <w:rsid w:val="00BC083A"/>
    <w:rsid w:val="00BC1291"/>
    <w:rsid w:val="00BC17BB"/>
    <w:rsid w:val="00BC57E2"/>
    <w:rsid w:val="00BD1185"/>
    <w:rsid w:val="00BD365A"/>
    <w:rsid w:val="00BD3C79"/>
    <w:rsid w:val="00BD4193"/>
    <w:rsid w:val="00BD4854"/>
    <w:rsid w:val="00BD48C3"/>
    <w:rsid w:val="00BE2B37"/>
    <w:rsid w:val="00BE4654"/>
    <w:rsid w:val="00BE7E64"/>
    <w:rsid w:val="00BF11EB"/>
    <w:rsid w:val="00BF387C"/>
    <w:rsid w:val="00C01CE0"/>
    <w:rsid w:val="00C070DA"/>
    <w:rsid w:val="00C1126E"/>
    <w:rsid w:val="00C1154E"/>
    <w:rsid w:val="00C11FBD"/>
    <w:rsid w:val="00C12935"/>
    <w:rsid w:val="00C14083"/>
    <w:rsid w:val="00C1755D"/>
    <w:rsid w:val="00C217A8"/>
    <w:rsid w:val="00C2319D"/>
    <w:rsid w:val="00C23C52"/>
    <w:rsid w:val="00C24A86"/>
    <w:rsid w:val="00C25130"/>
    <w:rsid w:val="00C261B9"/>
    <w:rsid w:val="00C261EC"/>
    <w:rsid w:val="00C267A6"/>
    <w:rsid w:val="00C26826"/>
    <w:rsid w:val="00C27E32"/>
    <w:rsid w:val="00C30C3E"/>
    <w:rsid w:val="00C33861"/>
    <w:rsid w:val="00C35659"/>
    <w:rsid w:val="00C35C9E"/>
    <w:rsid w:val="00C4225E"/>
    <w:rsid w:val="00C45B15"/>
    <w:rsid w:val="00C46579"/>
    <w:rsid w:val="00C4710A"/>
    <w:rsid w:val="00C52A73"/>
    <w:rsid w:val="00C56640"/>
    <w:rsid w:val="00C57D9E"/>
    <w:rsid w:val="00C60A0F"/>
    <w:rsid w:val="00C6149F"/>
    <w:rsid w:val="00C635B6"/>
    <w:rsid w:val="00C63647"/>
    <w:rsid w:val="00C663CA"/>
    <w:rsid w:val="00C6710B"/>
    <w:rsid w:val="00C67691"/>
    <w:rsid w:val="00C72B74"/>
    <w:rsid w:val="00C72DEC"/>
    <w:rsid w:val="00C731DE"/>
    <w:rsid w:val="00C7744C"/>
    <w:rsid w:val="00C80039"/>
    <w:rsid w:val="00C80876"/>
    <w:rsid w:val="00C84442"/>
    <w:rsid w:val="00C87364"/>
    <w:rsid w:val="00C87D78"/>
    <w:rsid w:val="00C90919"/>
    <w:rsid w:val="00C9276F"/>
    <w:rsid w:val="00CA1775"/>
    <w:rsid w:val="00CA23BD"/>
    <w:rsid w:val="00CA3E5A"/>
    <w:rsid w:val="00CA4D71"/>
    <w:rsid w:val="00CB0CD3"/>
    <w:rsid w:val="00CB1391"/>
    <w:rsid w:val="00CB15F8"/>
    <w:rsid w:val="00CB3FC4"/>
    <w:rsid w:val="00CB7E44"/>
    <w:rsid w:val="00CC0009"/>
    <w:rsid w:val="00CC2369"/>
    <w:rsid w:val="00CC42CD"/>
    <w:rsid w:val="00CC54BB"/>
    <w:rsid w:val="00CC5FDB"/>
    <w:rsid w:val="00CC642D"/>
    <w:rsid w:val="00CC712E"/>
    <w:rsid w:val="00CD27FC"/>
    <w:rsid w:val="00CD5BC4"/>
    <w:rsid w:val="00CD6842"/>
    <w:rsid w:val="00CD7106"/>
    <w:rsid w:val="00CD7F6E"/>
    <w:rsid w:val="00CE0652"/>
    <w:rsid w:val="00CE2122"/>
    <w:rsid w:val="00CE4A63"/>
    <w:rsid w:val="00CE5816"/>
    <w:rsid w:val="00CE5BDF"/>
    <w:rsid w:val="00CE729A"/>
    <w:rsid w:val="00CE74D2"/>
    <w:rsid w:val="00CF039B"/>
    <w:rsid w:val="00CF0933"/>
    <w:rsid w:val="00CF14B5"/>
    <w:rsid w:val="00CF2E79"/>
    <w:rsid w:val="00CF470E"/>
    <w:rsid w:val="00D01BBF"/>
    <w:rsid w:val="00D02730"/>
    <w:rsid w:val="00D034B7"/>
    <w:rsid w:val="00D044F7"/>
    <w:rsid w:val="00D05C0E"/>
    <w:rsid w:val="00D06902"/>
    <w:rsid w:val="00D06C95"/>
    <w:rsid w:val="00D101A7"/>
    <w:rsid w:val="00D12F64"/>
    <w:rsid w:val="00D12FDD"/>
    <w:rsid w:val="00D137EC"/>
    <w:rsid w:val="00D15AA4"/>
    <w:rsid w:val="00D167E6"/>
    <w:rsid w:val="00D16BEB"/>
    <w:rsid w:val="00D22E8E"/>
    <w:rsid w:val="00D23057"/>
    <w:rsid w:val="00D23927"/>
    <w:rsid w:val="00D24F10"/>
    <w:rsid w:val="00D2674D"/>
    <w:rsid w:val="00D268E7"/>
    <w:rsid w:val="00D271D3"/>
    <w:rsid w:val="00D31116"/>
    <w:rsid w:val="00D31D2A"/>
    <w:rsid w:val="00D33CE0"/>
    <w:rsid w:val="00D34380"/>
    <w:rsid w:val="00D40AE5"/>
    <w:rsid w:val="00D41465"/>
    <w:rsid w:val="00D419D2"/>
    <w:rsid w:val="00D41B20"/>
    <w:rsid w:val="00D4240D"/>
    <w:rsid w:val="00D4310A"/>
    <w:rsid w:val="00D44CB1"/>
    <w:rsid w:val="00D44E43"/>
    <w:rsid w:val="00D45126"/>
    <w:rsid w:val="00D45841"/>
    <w:rsid w:val="00D47C14"/>
    <w:rsid w:val="00D47D11"/>
    <w:rsid w:val="00D538FF"/>
    <w:rsid w:val="00D54BF4"/>
    <w:rsid w:val="00D61F80"/>
    <w:rsid w:val="00D626CB"/>
    <w:rsid w:val="00D663CA"/>
    <w:rsid w:val="00D73868"/>
    <w:rsid w:val="00D738DC"/>
    <w:rsid w:val="00D76CDE"/>
    <w:rsid w:val="00D82A56"/>
    <w:rsid w:val="00D82DAE"/>
    <w:rsid w:val="00D86CE2"/>
    <w:rsid w:val="00D877DB"/>
    <w:rsid w:val="00D90E92"/>
    <w:rsid w:val="00D91F07"/>
    <w:rsid w:val="00D933EF"/>
    <w:rsid w:val="00D93F7D"/>
    <w:rsid w:val="00D96747"/>
    <w:rsid w:val="00D9748A"/>
    <w:rsid w:val="00DA0C11"/>
    <w:rsid w:val="00DA11B5"/>
    <w:rsid w:val="00DA1214"/>
    <w:rsid w:val="00DA1B9D"/>
    <w:rsid w:val="00DA45D8"/>
    <w:rsid w:val="00DA531F"/>
    <w:rsid w:val="00DB13A7"/>
    <w:rsid w:val="00DB15AD"/>
    <w:rsid w:val="00DB191E"/>
    <w:rsid w:val="00DB26C1"/>
    <w:rsid w:val="00DB4ABD"/>
    <w:rsid w:val="00DB5B95"/>
    <w:rsid w:val="00DC0572"/>
    <w:rsid w:val="00DC0BDA"/>
    <w:rsid w:val="00DC3B9F"/>
    <w:rsid w:val="00DC50C1"/>
    <w:rsid w:val="00DC571F"/>
    <w:rsid w:val="00DC5C7C"/>
    <w:rsid w:val="00DC785D"/>
    <w:rsid w:val="00DD107B"/>
    <w:rsid w:val="00DD25BC"/>
    <w:rsid w:val="00DD2DE8"/>
    <w:rsid w:val="00DD3B93"/>
    <w:rsid w:val="00DD54DF"/>
    <w:rsid w:val="00DE17A1"/>
    <w:rsid w:val="00DE1F5C"/>
    <w:rsid w:val="00DE28BA"/>
    <w:rsid w:val="00DF430D"/>
    <w:rsid w:val="00DF77FC"/>
    <w:rsid w:val="00E007B7"/>
    <w:rsid w:val="00E04D09"/>
    <w:rsid w:val="00E10D04"/>
    <w:rsid w:val="00E135C9"/>
    <w:rsid w:val="00E165D8"/>
    <w:rsid w:val="00E16735"/>
    <w:rsid w:val="00E16ED5"/>
    <w:rsid w:val="00E16F4F"/>
    <w:rsid w:val="00E17DC3"/>
    <w:rsid w:val="00E21D35"/>
    <w:rsid w:val="00E2465E"/>
    <w:rsid w:val="00E25F30"/>
    <w:rsid w:val="00E262EC"/>
    <w:rsid w:val="00E266FC"/>
    <w:rsid w:val="00E27BB9"/>
    <w:rsid w:val="00E30785"/>
    <w:rsid w:val="00E3663E"/>
    <w:rsid w:val="00E3698A"/>
    <w:rsid w:val="00E37131"/>
    <w:rsid w:val="00E378A9"/>
    <w:rsid w:val="00E418CA"/>
    <w:rsid w:val="00E41C5B"/>
    <w:rsid w:val="00E47F46"/>
    <w:rsid w:val="00E51CE1"/>
    <w:rsid w:val="00E5245E"/>
    <w:rsid w:val="00E52D68"/>
    <w:rsid w:val="00E63902"/>
    <w:rsid w:val="00E64464"/>
    <w:rsid w:val="00E644A9"/>
    <w:rsid w:val="00E66DE5"/>
    <w:rsid w:val="00E70337"/>
    <w:rsid w:val="00E7060D"/>
    <w:rsid w:val="00E70C42"/>
    <w:rsid w:val="00E73FBD"/>
    <w:rsid w:val="00E74A61"/>
    <w:rsid w:val="00E74C4F"/>
    <w:rsid w:val="00E763F0"/>
    <w:rsid w:val="00E77C38"/>
    <w:rsid w:val="00E807C0"/>
    <w:rsid w:val="00E82ED9"/>
    <w:rsid w:val="00E83592"/>
    <w:rsid w:val="00E84AA1"/>
    <w:rsid w:val="00E850BC"/>
    <w:rsid w:val="00E85579"/>
    <w:rsid w:val="00E85A54"/>
    <w:rsid w:val="00E86185"/>
    <w:rsid w:val="00E86A30"/>
    <w:rsid w:val="00E91DA8"/>
    <w:rsid w:val="00E93700"/>
    <w:rsid w:val="00E93E11"/>
    <w:rsid w:val="00E94080"/>
    <w:rsid w:val="00E94844"/>
    <w:rsid w:val="00E9499F"/>
    <w:rsid w:val="00E96424"/>
    <w:rsid w:val="00E96CBF"/>
    <w:rsid w:val="00E97FD1"/>
    <w:rsid w:val="00EA01C2"/>
    <w:rsid w:val="00EA14B1"/>
    <w:rsid w:val="00EA216C"/>
    <w:rsid w:val="00EA3585"/>
    <w:rsid w:val="00EA36BA"/>
    <w:rsid w:val="00EA3A23"/>
    <w:rsid w:val="00EA5AA7"/>
    <w:rsid w:val="00EA67E8"/>
    <w:rsid w:val="00EA6F27"/>
    <w:rsid w:val="00EB4832"/>
    <w:rsid w:val="00EB5AFA"/>
    <w:rsid w:val="00EB7395"/>
    <w:rsid w:val="00EB75C2"/>
    <w:rsid w:val="00EC0268"/>
    <w:rsid w:val="00EC2BAC"/>
    <w:rsid w:val="00EC6036"/>
    <w:rsid w:val="00EC622D"/>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EF6897"/>
    <w:rsid w:val="00F01199"/>
    <w:rsid w:val="00F011E0"/>
    <w:rsid w:val="00F02F7A"/>
    <w:rsid w:val="00F04A11"/>
    <w:rsid w:val="00F04C4E"/>
    <w:rsid w:val="00F0509A"/>
    <w:rsid w:val="00F06AD9"/>
    <w:rsid w:val="00F06C1D"/>
    <w:rsid w:val="00F11373"/>
    <w:rsid w:val="00F12913"/>
    <w:rsid w:val="00F1425F"/>
    <w:rsid w:val="00F14418"/>
    <w:rsid w:val="00F148B2"/>
    <w:rsid w:val="00F148D8"/>
    <w:rsid w:val="00F15F18"/>
    <w:rsid w:val="00F15F38"/>
    <w:rsid w:val="00F1602A"/>
    <w:rsid w:val="00F16AA7"/>
    <w:rsid w:val="00F16C09"/>
    <w:rsid w:val="00F21104"/>
    <w:rsid w:val="00F21DDA"/>
    <w:rsid w:val="00F23238"/>
    <w:rsid w:val="00F247BC"/>
    <w:rsid w:val="00F277AA"/>
    <w:rsid w:val="00F30CD3"/>
    <w:rsid w:val="00F329C5"/>
    <w:rsid w:val="00F342C7"/>
    <w:rsid w:val="00F373B9"/>
    <w:rsid w:val="00F37CEF"/>
    <w:rsid w:val="00F43206"/>
    <w:rsid w:val="00F4637E"/>
    <w:rsid w:val="00F46FF8"/>
    <w:rsid w:val="00F50DBB"/>
    <w:rsid w:val="00F511C7"/>
    <w:rsid w:val="00F511E7"/>
    <w:rsid w:val="00F51275"/>
    <w:rsid w:val="00F522CB"/>
    <w:rsid w:val="00F54DC6"/>
    <w:rsid w:val="00F5529A"/>
    <w:rsid w:val="00F55835"/>
    <w:rsid w:val="00F55965"/>
    <w:rsid w:val="00F55D85"/>
    <w:rsid w:val="00F55EF8"/>
    <w:rsid w:val="00F57DBF"/>
    <w:rsid w:val="00F61FC6"/>
    <w:rsid w:val="00F635C4"/>
    <w:rsid w:val="00F71398"/>
    <w:rsid w:val="00F75025"/>
    <w:rsid w:val="00F75E07"/>
    <w:rsid w:val="00F77137"/>
    <w:rsid w:val="00F7784D"/>
    <w:rsid w:val="00F80684"/>
    <w:rsid w:val="00F8132B"/>
    <w:rsid w:val="00F81A95"/>
    <w:rsid w:val="00F8319F"/>
    <w:rsid w:val="00F8446C"/>
    <w:rsid w:val="00F85509"/>
    <w:rsid w:val="00F866FA"/>
    <w:rsid w:val="00F87A0D"/>
    <w:rsid w:val="00F9068F"/>
    <w:rsid w:val="00F9093A"/>
    <w:rsid w:val="00F90E72"/>
    <w:rsid w:val="00F95E8E"/>
    <w:rsid w:val="00F96FEC"/>
    <w:rsid w:val="00FA0734"/>
    <w:rsid w:val="00FA206A"/>
    <w:rsid w:val="00FA3979"/>
    <w:rsid w:val="00FA59D2"/>
    <w:rsid w:val="00FA6425"/>
    <w:rsid w:val="00FA6616"/>
    <w:rsid w:val="00FA7226"/>
    <w:rsid w:val="00FB0C44"/>
    <w:rsid w:val="00FB1D35"/>
    <w:rsid w:val="00FB41D2"/>
    <w:rsid w:val="00FB4BF2"/>
    <w:rsid w:val="00FC07DB"/>
    <w:rsid w:val="00FC2291"/>
    <w:rsid w:val="00FC25CB"/>
    <w:rsid w:val="00FC3268"/>
    <w:rsid w:val="00FC3BE9"/>
    <w:rsid w:val="00FC412C"/>
    <w:rsid w:val="00FC47FF"/>
    <w:rsid w:val="00FC4F91"/>
    <w:rsid w:val="00FC7E58"/>
    <w:rsid w:val="00FD0A74"/>
    <w:rsid w:val="00FD0F5E"/>
    <w:rsid w:val="00FD662A"/>
    <w:rsid w:val="00FE0942"/>
    <w:rsid w:val="00FE12B8"/>
    <w:rsid w:val="00FE42BF"/>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A968B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9"/>
    <w:qFormat/>
    <w:rsid w:val="00366821"/>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366821"/>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366821"/>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366821"/>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9"/>
    <w:qFormat/>
    <w:rsid w:val="00366821"/>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13"/>
    <w:semiHidden/>
    <w:qFormat/>
    <w:rsid w:val="00366821"/>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13"/>
    <w:semiHidden/>
    <w:qFormat/>
    <w:rsid w:val="00366821"/>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3"/>
    <w:semiHidden/>
    <w:qFormat/>
    <w:rsid w:val="00366821"/>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3"/>
    <w:semiHidden/>
    <w:qFormat/>
    <w:rsid w:val="0036682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E165D8"/>
    <w:rPr>
      <w:vertAlign w:val="superscript"/>
    </w:rPr>
  </w:style>
  <w:style w:type="paragraph" w:styleId="ListBullet">
    <w:name w:val="List Bullet"/>
    <w:basedOn w:val="Normal"/>
    <w:uiPriority w:val="3"/>
    <w:semiHidden/>
    <w:rsid w:val="00366821"/>
    <w:pPr>
      <w:numPr>
        <w:numId w:val="5"/>
      </w:numPr>
      <w:tabs>
        <w:tab w:val="clear" w:pos="567"/>
        <w:tab w:val="num" w:pos="360"/>
      </w:tabs>
      <w:ind w:left="0" w:firstLine="0"/>
    </w:pPr>
  </w:style>
  <w:style w:type="paragraph" w:styleId="ListNumber">
    <w:name w:val="List Number"/>
    <w:basedOn w:val="Normal"/>
    <w:uiPriority w:val="5"/>
    <w:semiHidden/>
    <w:rsid w:val="00366821"/>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366821"/>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9"/>
    <w:rsid w:val="002B2E2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366821"/>
    <w:pPr>
      <w:ind w:left="567" w:right="567"/>
    </w:pPr>
    <w:rPr>
      <w:i/>
      <w:color w:val="4D4D4D"/>
    </w:rPr>
  </w:style>
  <w:style w:type="paragraph" w:styleId="Caption">
    <w:name w:val="caption"/>
    <w:basedOn w:val="Normal"/>
    <w:next w:val="BodyText"/>
    <w:uiPriority w:val="2"/>
    <w:semiHidden/>
    <w:rsid w:val="00366821"/>
    <w:pPr>
      <w:keepNext/>
      <w:spacing w:before="200" w:after="140"/>
    </w:pPr>
    <w:rPr>
      <w:b/>
      <w:bCs/>
      <w:szCs w:val="18"/>
    </w:rPr>
  </w:style>
  <w:style w:type="paragraph" w:styleId="Bibliography">
    <w:name w:val="Bibliography"/>
    <w:basedOn w:val="Normal"/>
    <w:next w:val="Normal"/>
    <w:uiPriority w:val="7"/>
    <w:semiHidden/>
    <w:rsid w:val="00366821"/>
  </w:style>
  <w:style w:type="paragraph" w:styleId="TOC1">
    <w:name w:val="toc 1"/>
    <w:basedOn w:val="Normalcolour"/>
    <w:next w:val="Normal"/>
    <w:uiPriority w:val="39"/>
    <w:rsid w:val="00FE12B8"/>
    <w:pPr>
      <w:tabs>
        <w:tab w:val="right" w:leader="underscore" w:pos="9299"/>
      </w:tabs>
      <w:spacing w:before="200" w:after="0"/>
      <w:ind w:right="425"/>
    </w:pPr>
    <w:rPr>
      <w:sz w:val="26"/>
    </w:rPr>
  </w:style>
  <w:style w:type="paragraph" w:styleId="TOC2">
    <w:name w:val="toc 2"/>
    <w:basedOn w:val="Normal"/>
    <w:next w:val="Normal"/>
    <w:uiPriority w:val="39"/>
    <w:rsid w:val="00366821"/>
    <w:pPr>
      <w:tabs>
        <w:tab w:val="right" w:leader="underscore" w:pos="9299"/>
      </w:tabs>
      <w:spacing w:after="0"/>
      <w:ind w:right="425"/>
    </w:pPr>
  </w:style>
  <w:style w:type="paragraph" w:styleId="TOC3">
    <w:name w:val="toc 3"/>
    <w:basedOn w:val="Normal"/>
    <w:next w:val="Normal"/>
    <w:uiPriority w:val="39"/>
    <w:rsid w:val="00366821"/>
    <w:pPr>
      <w:tabs>
        <w:tab w:val="right" w:leader="underscore" w:pos="9299"/>
      </w:tabs>
      <w:spacing w:after="0"/>
      <w:ind w:left="284" w:right="425"/>
    </w:pPr>
  </w:style>
  <w:style w:type="paragraph" w:styleId="TOC4">
    <w:name w:val="toc 4"/>
    <w:basedOn w:val="Normal"/>
    <w:next w:val="Normal"/>
    <w:uiPriority w:val="39"/>
    <w:rsid w:val="00DB5B95"/>
    <w:pPr>
      <w:tabs>
        <w:tab w:val="right" w:leader="underscore" w:pos="9299"/>
      </w:tabs>
      <w:spacing w:after="0"/>
      <w:ind w:left="567" w:right="425"/>
    </w:pPr>
  </w:style>
  <w:style w:type="paragraph" w:styleId="TOC5">
    <w:name w:val="toc 5"/>
    <w:basedOn w:val="Normal"/>
    <w:next w:val="Normal"/>
    <w:autoRedefine/>
    <w:uiPriority w:val="8"/>
    <w:semiHidden/>
    <w:rsid w:val="00366821"/>
    <w:pPr>
      <w:tabs>
        <w:tab w:val="right" w:leader="dot" w:pos="9299"/>
      </w:tabs>
      <w:spacing w:after="0" w:line="260" w:lineRule="atLeast"/>
      <w:ind w:left="851" w:right="425"/>
    </w:pPr>
  </w:style>
  <w:style w:type="paragraph" w:styleId="TOC6">
    <w:name w:val="toc 6"/>
    <w:basedOn w:val="Normal"/>
    <w:next w:val="Normal"/>
    <w:autoRedefine/>
    <w:uiPriority w:val="39"/>
    <w:semiHidden/>
    <w:rsid w:val="00366821"/>
    <w:pPr>
      <w:spacing w:after="100"/>
      <w:ind w:left="1100"/>
    </w:pPr>
  </w:style>
  <w:style w:type="paragraph" w:styleId="TOC7">
    <w:name w:val="toc 7"/>
    <w:basedOn w:val="Normal"/>
    <w:next w:val="Normal"/>
    <w:autoRedefine/>
    <w:uiPriority w:val="39"/>
    <w:semiHidden/>
    <w:rsid w:val="00366821"/>
    <w:pPr>
      <w:spacing w:after="100"/>
      <w:ind w:left="1320"/>
    </w:pPr>
  </w:style>
  <w:style w:type="paragraph" w:styleId="TOC8">
    <w:name w:val="toc 8"/>
    <w:basedOn w:val="Normal"/>
    <w:next w:val="Normal"/>
    <w:autoRedefine/>
    <w:uiPriority w:val="39"/>
    <w:semiHidden/>
    <w:rsid w:val="00366821"/>
    <w:pPr>
      <w:spacing w:after="100"/>
      <w:ind w:left="1540"/>
    </w:pPr>
  </w:style>
  <w:style w:type="paragraph" w:styleId="TOC9">
    <w:name w:val="toc 9"/>
    <w:basedOn w:val="Normal"/>
    <w:next w:val="Normal"/>
    <w:autoRedefine/>
    <w:uiPriority w:val="39"/>
    <w:semiHidden/>
    <w:rsid w:val="00366821"/>
    <w:pPr>
      <w:spacing w:after="100"/>
      <w:ind w:left="1760"/>
    </w:pPr>
  </w:style>
  <w:style w:type="paragraph" w:styleId="TOCHeading">
    <w:name w:val="TOC Heading"/>
    <w:basedOn w:val="Heading1"/>
    <w:next w:val="BodyText"/>
    <w:uiPriority w:val="1"/>
    <w:qFormat/>
    <w:rsid w:val="00366821"/>
    <w:pPr>
      <w:outlineLvl w:val="9"/>
    </w:pPr>
  </w:style>
  <w:style w:type="paragraph" w:styleId="BodyText">
    <w:name w:val="Body Text"/>
    <w:basedOn w:val="Normal"/>
    <w:link w:val="BodyTextChar"/>
    <w:uiPriority w:val="2"/>
    <w:rsid w:val="0036682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366821"/>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366821"/>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Cs w:val="20"/>
    </w:rPr>
  </w:style>
  <w:style w:type="paragraph" w:styleId="Date">
    <w:name w:val="Date"/>
    <w:basedOn w:val="Normal"/>
    <w:next w:val="Normal"/>
    <w:link w:val="DateChar"/>
    <w:uiPriority w:val="99"/>
    <w:semiHidden/>
    <w:rsid w:val="00366821"/>
  </w:style>
  <w:style w:type="character" w:customStyle="1" w:styleId="DateChar">
    <w:name w:val="Date Char"/>
    <w:basedOn w:val="DefaultParagraphFont"/>
    <w:link w:val="Date"/>
    <w:uiPriority w:val="99"/>
    <w:semiHidden/>
    <w:rsid w:val="00971D0C"/>
    <w:rPr>
      <w:rFonts w:ascii="Calibri" w:hAnsi="Calibri"/>
      <w:color w:val="1E1E1E"/>
      <w:sz w:val="24"/>
    </w:rPr>
  </w:style>
  <w:style w:type="paragraph" w:styleId="E-mailSignature">
    <w:name w:val="E-mail Signature"/>
    <w:basedOn w:val="Normal"/>
    <w:link w:val="E-mailSignatureChar"/>
    <w:uiPriority w:val="99"/>
    <w:semiHidden/>
    <w:rsid w:val="0036682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F5529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56B35"/>
    <w:rPr>
      <w:rFonts w:ascii="Calibri" w:hAnsi="Calibri"/>
      <w:color w:val="4D4D4D"/>
      <w:sz w:val="20"/>
      <w:szCs w:val="20"/>
    </w:rPr>
  </w:style>
  <w:style w:type="paragraph" w:styleId="EnvelopeAddress">
    <w:name w:val="envelope address"/>
    <w:basedOn w:val="Normal"/>
    <w:uiPriority w:val="99"/>
    <w:semiHidden/>
    <w:rsid w:val="003668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36682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366821"/>
    <w:pPr>
      <w:spacing w:after="0" w:line="240" w:lineRule="auto"/>
      <w:jc w:val="right"/>
    </w:pPr>
    <w:rPr>
      <w:color w:val="696969"/>
      <w:sz w:val="20"/>
    </w:rPr>
  </w:style>
  <w:style w:type="character" w:customStyle="1" w:styleId="FooterChar">
    <w:name w:val="Footer Char"/>
    <w:basedOn w:val="DefaultParagraphFont"/>
    <w:link w:val="Footer"/>
    <w:uiPriority w:val="10"/>
    <w:rsid w:val="0037562B"/>
    <w:rPr>
      <w:rFonts w:ascii="Calibri" w:hAnsi="Calibri"/>
      <w:color w:val="696969"/>
      <w:sz w:val="20"/>
    </w:rPr>
  </w:style>
  <w:style w:type="paragraph" w:styleId="FootnoteText">
    <w:name w:val="footnote text"/>
    <w:basedOn w:val="Normal"/>
    <w:link w:val="FootnoteTextChar"/>
    <w:uiPriority w:val="7"/>
    <w:rsid w:val="00F5529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556B35"/>
    <w:rPr>
      <w:rFonts w:ascii="Calibri" w:hAnsi="Calibri"/>
      <w:color w:val="4D4D4D"/>
      <w:sz w:val="20"/>
      <w:szCs w:val="20"/>
    </w:rPr>
  </w:style>
  <w:style w:type="paragraph" w:styleId="Header">
    <w:name w:val="header"/>
    <w:basedOn w:val="Normal"/>
    <w:link w:val="HeaderChar"/>
    <w:rsid w:val="00366821"/>
    <w:pPr>
      <w:spacing w:after="0" w:line="240" w:lineRule="auto"/>
    </w:pPr>
    <w:rPr>
      <w:color w:val="696969"/>
      <w:sz w:val="20"/>
    </w:rPr>
  </w:style>
  <w:style w:type="character" w:customStyle="1" w:styleId="HeaderChar">
    <w:name w:val="Header Char"/>
    <w:basedOn w:val="DefaultParagraphFont"/>
    <w:link w:val="Header"/>
    <w:rsid w:val="0037562B"/>
    <w:rPr>
      <w:rFonts w:ascii="Calibri" w:hAnsi="Calibri"/>
      <w:color w:val="696969"/>
      <w:sz w:val="20"/>
    </w:rPr>
  </w:style>
  <w:style w:type="paragraph" w:styleId="HTMLAddress">
    <w:name w:val="HTML Address"/>
    <w:basedOn w:val="Normal"/>
    <w:link w:val="HTMLAddressChar"/>
    <w:uiPriority w:val="87"/>
    <w:semiHidden/>
    <w:rsid w:val="00366821"/>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sz w:val="24"/>
    </w:rPr>
  </w:style>
  <w:style w:type="paragraph" w:styleId="HTMLPreformatted">
    <w:name w:val="HTML Preformatted"/>
    <w:basedOn w:val="Normal"/>
    <w:link w:val="HTMLPreformattedChar"/>
    <w:uiPriority w:val="87"/>
    <w:semiHidden/>
    <w:rsid w:val="003668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A60734"/>
    <w:pPr>
      <w:spacing w:after="0"/>
      <w:ind w:left="220" w:hanging="220"/>
    </w:pPr>
    <w:rPr>
      <w:szCs w:val="18"/>
    </w:rPr>
  </w:style>
  <w:style w:type="paragraph" w:styleId="Index2">
    <w:name w:val="index 2"/>
    <w:basedOn w:val="Normal"/>
    <w:uiPriority w:val="99"/>
    <w:semiHidden/>
    <w:rsid w:val="00A60734"/>
    <w:pPr>
      <w:spacing w:after="0"/>
      <w:ind w:left="440" w:hanging="220"/>
    </w:pPr>
    <w:rPr>
      <w:szCs w:val="18"/>
    </w:rPr>
  </w:style>
  <w:style w:type="paragraph" w:styleId="Index3">
    <w:name w:val="index 3"/>
    <w:basedOn w:val="Normal"/>
    <w:uiPriority w:val="99"/>
    <w:semiHidden/>
    <w:rsid w:val="00A60734"/>
    <w:pPr>
      <w:spacing w:after="0"/>
      <w:ind w:left="660" w:hanging="220"/>
    </w:pPr>
    <w:rPr>
      <w:szCs w:val="18"/>
    </w:rPr>
  </w:style>
  <w:style w:type="paragraph" w:styleId="Index4">
    <w:name w:val="index 4"/>
    <w:basedOn w:val="Normal"/>
    <w:uiPriority w:val="99"/>
    <w:semiHidden/>
    <w:rsid w:val="00A60734"/>
    <w:pPr>
      <w:spacing w:after="0"/>
      <w:ind w:left="880" w:hanging="220"/>
    </w:pPr>
    <w:rPr>
      <w:szCs w:val="18"/>
    </w:rPr>
  </w:style>
  <w:style w:type="paragraph" w:styleId="Index5">
    <w:name w:val="index 5"/>
    <w:basedOn w:val="Normal"/>
    <w:uiPriority w:val="99"/>
    <w:semiHidden/>
    <w:rsid w:val="00A60734"/>
    <w:pPr>
      <w:spacing w:after="0"/>
      <w:ind w:left="1100" w:hanging="220"/>
    </w:pPr>
    <w:rPr>
      <w:szCs w:val="18"/>
    </w:rPr>
  </w:style>
  <w:style w:type="paragraph" w:styleId="Index6">
    <w:name w:val="index 6"/>
    <w:basedOn w:val="Normal"/>
    <w:uiPriority w:val="99"/>
    <w:semiHidden/>
    <w:rsid w:val="00A60734"/>
    <w:pPr>
      <w:spacing w:after="0"/>
      <w:ind w:left="1320" w:hanging="220"/>
    </w:pPr>
    <w:rPr>
      <w:szCs w:val="18"/>
    </w:rPr>
  </w:style>
  <w:style w:type="paragraph" w:styleId="Index7">
    <w:name w:val="index 7"/>
    <w:basedOn w:val="Normal"/>
    <w:uiPriority w:val="99"/>
    <w:semiHidden/>
    <w:rsid w:val="00A60734"/>
    <w:pPr>
      <w:spacing w:after="0"/>
      <w:ind w:left="1540" w:hanging="220"/>
    </w:pPr>
    <w:rPr>
      <w:szCs w:val="18"/>
    </w:rPr>
  </w:style>
  <w:style w:type="paragraph" w:styleId="Index8">
    <w:name w:val="index 8"/>
    <w:basedOn w:val="Normal"/>
    <w:uiPriority w:val="99"/>
    <w:semiHidden/>
    <w:rsid w:val="00A60734"/>
    <w:pPr>
      <w:spacing w:after="0"/>
      <w:ind w:left="1760" w:hanging="220"/>
    </w:pPr>
    <w:rPr>
      <w:szCs w:val="18"/>
    </w:rPr>
  </w:style>
  <w:style w:type="paragraph" w:styleId="Index9">
    <w:name w:val="index 9"/>
    <w:basedOn w:val="Normal"/>
    <w:uiPriority w:val="99"/>
    <w:semiHidden/>
    <w:rsid w:val="00A60734"/>
    <w:pPr>
      <w:spacing w:after="0"/>
      <w:ind w:left="1980" w:hanging="220"/>
    </w:pPr>
    <w:rPr>
      <w:szCs w:val="18"/>
    </w:rPr>
  </w:style>
  <w:style w:type="paragraph" w:styleId="IndexHeading">
    <w:name w:val="index heading"/>
    <w:basedOn w:val="Normal"/>
    <w:next w:val="Index1"/>
    <w:uiPriority w:val="1"/>
    <w:semiHidden/>
    <w:rsid w:val="00A60734"/>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366821"/>
    <w:pPr>
      <w:numPr>
        <w:ilvl w:val="1"/>
        <w:numId w:val="5"/>
      </w:numPr>
    </w:pPr>
  </w:style>
  <w:style w:type="paragraph" w:styleId="ListBullet3">
    <w:name w:val="List Bullet 3"/>
    <w:basedOn w:val="Normal"/>
    <w:uiPriority w:val="3"/>
    <w:semiHidden/>
    <w:rsid w:val="00366821"/>
    <w:pPr>
      <w:numPr>
        <w:ilvl w:val="2"/>
        <w:numId w:val="5"/>
      </w:numPr>
    </w:pPr>
  </w:style>
  <w:style w:type="paragraph" w:styleId="ListBullet4">
    <w:name w:val="List Bullet 4"/>
    <w:basedOn w:val="Normal"/>
    <w:uiPriority w:val="3"/>
    <w:semiHidden/>
    <w:rsid w:val="00366821"/>
    <w:pPr>
      <w:numPr>
        <w:ilvl w:val="3"/>
        <w:numId w:val="5"/>
      </w:numPr>
    </w:pPr>
  </w:style>
  <w:style w:type="paragraph" w:styleId="ListContinue">
    <w:name w:val="List Continue"/>
    <w:basedOn w:val="Normal"/>
    <w:uiPriority w:val="4"/>
    <w:semiHidden/>
    <w:rsid w:val="00366821"/>
    <w:pPr>
      <w:ind w:left="567"/>
    </w:pPr>
  </w:style>
  <w:style w:type="paragraph" w:styleId="ListContinue2">
    <w:name w:val="List Continue 2"/>
    <w:basedOn w:val="Normal"/>
    <w:uiPriority w:val="4"/>
    <w:semiHidden/>
    <w:rsid w:val="00366821"/>
    <w:pPr>
      <w:ind w:left="1134"/>
    </w:pPr>
  </w:style>
  <w:style w:type="paragraph" w:styleId="ListContinue3">
    <w:name w:val="List Continue 3"/>
    <w:basedOn w:val="Normal"/>
    <w:uiPriority w:val="4"/>
    <w:semiHidden/>
    <w:rsid w:val="00366821"/>
    <w:pPr>
      <w:ind w:left="1701"/>
    </w:pPr>
  </w:style>
  <w:style w:type="paragraph" w:styleId="ListContinue4">
    <w:name w:val="List Continue 4"/>
    <w:basedOn w:val="Normal"/>
    <w:uiPriority w:val="4"/>
    <w:semiHidden/>
    <w:rsid w:val="00366821"/>
    <w:pPr>
      <w:ind w:left="2268"/>
    </w:pPr>
  </w:style>
  <w:style w:type="paragraph" w:styleId="ListContinue5">
    <w:name w:val="List Continue 5"/>
    <w:basedOn w:val="Normal"/>
    <w:uiPriority w:val="99"/>
    <w:semiHidden/>
    <w:rsid w:val="00366821"/>
    <w:pPr>
      <w:spacing w:after="120"/>
      <w:ind w:left="1415"/>
      <w:contextualSpacing/>
    </w:pPr>
  </w:style>
  <w:style w:type="paragraph" w:styleId="ListNumber2">
    <w:name w:val="List Number 2"/>
    <w:basedOn w:val="Normal"/>
    <w:uiPriority w:val="5"/>
    <w:semiHidden/>
    <w:rsid w:val="00366821"/>
    <w:pPr>
      <w:numPr>
        <w:ilvl w:val="1"/>
        <w:numId w:val="6"/>
      </w:numPr>
    </w:pPr>
  </w:style>
  <w:style w:type="paragraph" w:styleId="ListNumber3">
    <w:name w:val="List Number 3"/>
    <w:basedOn w:val="Normal"/>
    <w:uiPriority w:val="5"/>
    <w:semiHidden/>
    <w:rsid w:val="00366821"/>
    <w:pPr>
      <w:numPr>
        <w:ilvl w:val="2"/>
        <w:numId w:val="6"/>
      </w:numPr>
    </w:pPr>
  </w:style>
  <w:style w:type="paragraph" w:styleId="NormalWeb">
    <w:name w:val="Normal (Web)"/>
    <w:basedOn w:val="Normal"/>
    <w:uiPriority w:val="97"/>
    <w:semiHidden/>
    <w:rsid w:val="00366821"/>
    <w:rPr>
      <w:rFonts w:cs="Times New Roman"/>
      <w:szCs w:val="24"/>
    </w:rPr>
  </w:style>
  <w:style w:type="paragraph" w:styleId="TableofAuthorities">
    <w:name w:val="table of authorities"/>
    <w:basedOn w:val="Normal"/>
    <w:next w:val="Normal"/>
    <w:uiPriority w:val="9"/>
    <w:semiHidden/>
    <w:rsid w:val="00366821"/>
    <w:pPr>
      <w:spacing w:after="0"/>
      <w:ind w:left="220" w:hanging="220"/>
    </w:pPr>
  </w:style>
  <w:style w:type="paragraph" w:styleId="TableofFigures">
    <w:name w:val="table of figures"/>
    <w:basedOn w:val="Normal"/>
    <w:next w:val="Normal"/>
    <w:uiPriority w:val="2"/>
    <w:rsid w:val="00A968BA"/>
    <w:pPr>
      <w:tabs>
        <w:tab w:val="right" w:leader="underscore" w:pos="9299"/>
      </w:tabs>
      <w:spacing w:after="0"/>
      <w:ind w:right="425"/>
    </w:pPr>
  </w:style>
  <w:style w:type="paragraph" w:styleId="TOAHeading">
    <w:name w:val="toa heading"/>
    <w:basedOn w:val="Normal"/>
    <w:next w:val="Normal"/>
    <w:uiPriority w:val="9"/>
    <w:semiHidden/>
    <w:rsid w:val="00366821"/>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366821"/>
    <w:rPr>
      <w:color w:val="00ADC6"/>
    </w:rPr>
  </w:style>
  <w:style w:type="character" w:styleId="PageNumber">
    <w:name w:val="page number"/>
    <w:basedOn w:val="DefaultParagraphFont"/>
    <w:rsid w:val="00366821"/>
    <w:rPr>
      <w:b/>
      <w:color w:val="1E1E1E"/>
      <w:sz w:val="20"/>
    </w:rPr>
  </w:style>
  <w:style w:type="paragraph" w:customStyle="1" w:styleId="Heading1line">
    <w:name w:val="Heading 1 line"/>
    <w:basedOn w:val="Normal"/>
    <w:next w:val="BodyText"/>
    <w:uiPriority w:val="1"/>
    <w:semiHidden/>
    <w:rsid w:val="00366821"/>
    <w:pPr>
      <w:pBdr>
        <w:bottom w:val="single" w:sz="4" w:space="1" w:color="696969"/>
      </w:pBdr>
      <w:spacing w:before="200" w:line="240" w:lineRule="auto"/>
    </w:pPr>
    <w:rPr>
      <w:color w:val="696969"/>
    </w:rPr>
  </w:style>
  <w:style w:type="table" w:styleId="TableGrid">
    <w:name w:val="Table Grid"/>
    <w:basedOn w:val="TableNormal"/>
    <w:uiPriority w:val="59"/>
    <w:rsid w:val="00DB5B9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36682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366821"/>
    <w:pPr>
      <w:numPr>
        <w:numId w:val="7"/>
      </w:numPr>
    </w:pPr>
  </w:style>
  <w:style w:type="paragraph" w:customStyle="1" w:styleId="Listoutline2-11">
    <w:name w:val="List outline 2 - 1.1"/>
    <w:basedOn w:val="Normal"/>
    <w:uiPriority w:val="6"/>
    <w:semiHidden/>
    <w:rsid w:val="00366821"/>
    <w:pPr>
      <w:numPr>
        <w:ilvl w:val="1"/>
        <w:numId w:val="7"/>
      </w:numPr>
    </w:pPr>
  </w:style>
  <w:style w:type="paragraph" w:customStyle="1" w:styleId="Listoutline3-111">
    <w:name w:val="List outline 3 - 1.1.1"/>
    <w:basedOn w:val="Normal"/>
    <w:uiPriority w:val="6"/>
    <w:semiHidden/>
    <w:rsid w:val="00366821"/>
    <w:pPr>
      <w:numPr>
        <w:ilvl w:val="2"/>
        <w:numId w:val="7"/>
      </w:numPr>
    </w:pPr>
  </w:style>
  <w:style w:type="paragraph" w:customStyle="1" w:styleId="Listoutline4-a">
    <w:name w:val="List outline 4 - a."/>
    <w:basedOn w:val="Normal"/>
    <w:uiPriority w:val="6"/>
    <w:semiHidden/>
    <w:rsid w:val="00366821"/>
    <w:pPr>
      <w:numPr>
        <w:ilvl w:val="3"/>
        <w:numId w:val="7"/>
      </w:numPr>
    </w:pPr>
  </w:style>
  <w:style w:type="character" w:styleId="Hyperlink">
    <w:name w:val="Hyperlink"/>
    <w:basedOn w:val="DefaultParagraphFont"/>
    <w:uiPriority w:val="99"/>
    <w:rsid w:val="00366821"/>
    <w:rPr>
      <w:color w:val="0D6AB8"/>
      <w:u w:val="single"/>
    </w:rPr>
  </w:style>
  <w:style w:type="paragraph" w:customStyle="1" w:styleId="Heading2-Start">
    <w:name w:val="Heading 2 - Start"/>
    <w:basedOn w:val="Heading2"/>
    <w:next w:val="BodyText"/>
    <w:uiPriority w:val="1"/>
    <w:rsid w:val="00366821"/>
    <w:pPr>
      <w:spacing w:before="200"/>
    </w:pPr>
  </w:style>
  <w:style w:type="paragraph" w:customStyle="1" w:styleId="Quotationparagraphbefore">
    <w:name w:val="Quotation (paragraph before)"/>
    <w:basedOn w:val="Normal"/>
    <w:next w:val="Quotationseparateparagraph"/>
    <w:uiPriority w:val="6"/>
    <w:rsid w:val="00366821"/>
    <w:pPr>
      <w:spacing w:after="120"/>
    </w:pPr>
  </w:style>
  <w:style w:type="character" w:styleId="Emphasis">
    <w:name w:val="Emphasis"/>
    <w:uiPriority w:val="2"/>
    <w:rsid w:val="00CD27FC"/>
    <w:rPr>
      <w:rFonts w:ascii="Calibri" w:hAnsi="Calibri"/>
      <w:b/>
      <w:bCs/>
      <w:iCs/>
      <w:spacing w:val="0"/>
      <w:lang w:val="en-NZ"/>
    </w:rPr>
  </w:style>
  <w:style w:type="paragraph" w:customStyle="1" w:styleId="Listcheckbox">
    <w:name w:val="List check box"/>
    <w:basedOn w:val="BodyText"/>
    <w:uiPriority w:val="3"/>
    <w:semiHidden/>
    <w:rsid w:val="00366821"/>
  </w:style>
  <w:style w:type="paragraph" w:customStyle="1" w:styleId="Boxsmalltext">
    <w:name w:val="Box small text"/>
    <w:basedOn w:val="Normalcolour"/>
    <w:uiPriority w:val="2"/>
    <w:rsid w:val="00366821"/>
    <w:rPr>
      <w:color w:val="1E1E1E"/>
    </w:rPr>
  </w:style>
  <w:style w:type="paragraph" w:customStyle="1" w:styleId="Boxlargetext">
    <w:name w:val="Box large text"/>
    <w:basedOn w:val="Normalcolour"/>
    <w:uiPriority w:val="2"/>
    <w:rsid w:val="00366821"/>
    <w:pPr>
      <w:spacing w:line="320" w:lineRule="atLeast"/>
    </w:pPr>
    <w:rPr>
      <w:sz w:val="26"/>
    </w:rPr>
  </w:style>
  <w:style w:type="paragraph" w:customStyle="1" w:styleId="Listoutline5-i">
    <w:name w:val="List outline 5 - i."/>
    <w:basedOn w:val="Normal"/>
    <w:uiPriority w:val="6"/>
    <w:semiHidden/>
    <w:rsid w:val="00366821"/>
    <w:pPr>
      <w:numPr>
        <w:ilvl w:val="4"/>
        <w:numId w:val="7"/>
      </w:numPr>
    </w:pPr>
  </w:style>
  <w:style w:type="character" w:styleId="EndnoteReference">
    <w:name w:val="endnote reference"/>
    <w:basedOn w:val="DefaultParagraphFont"/>
    <w:uiPriority w:val="99"/>
    <w:rsid w:val="00E165D8"/>
    <w:rPr>
      <w:vertAlign w:val="superscript"/>
    </w:rPr>
  </w:style>
  <w:style w:type="paragraph" w:customStyle="1" w:styleId="HeadingAppendix">
    <w:name w:val="Heading Appendix"/>
    <w:basedOn w:val="Heading1"/>
    <w:next w:val="BodyText"/>
    <w:uiPriority w:val="1"/>
    <w:rsid w:val="004F0849"/>
    <w:pPr>
      <w:pageBreakBefore/>
      <w:numPr>
        <w:numId w:val="4"/>
      </w:numPr>
      <w:spacing w:before="0"/>
    </w:pPr>
  </w:style>
  <w:style w:type="table" w:customStyle="1" w:styleId="TableGridnoborders">
    <w:name w:val="Table Grid (no borders)"/>
    <w:basedOn w:val="TableNormal"/>
    <w:uiPriority w:val="99"/>
    <w:rsid w:val="00546D65"/>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60734"/>
    <w:rPr>
      <w:b/>
    </w:rPr>
  </w:style>
  <w:style w:type="paragraph" w:customStyle="1" w:styleId="Whitespace">
    <w:name w:val="White space"/>
    <w:basedOn w:val="BodyText"/>
    <w:uiPriority w:val="2"/>
    <w:rsid w:val="00366821"/>
    <w:pPr>
      <w:spacing w:after="0" w:line="240" w:lineRule="auto"/>
    </w:pPr>
    <w:rPr>
      <w:sz w:val="16"/>
    </w:rPr>
  </w:style>
  <w:style w:type="character" w:customStyle="1" w:styleId="Quotationwithinthesentence">
    <w:name w:val="Quotation (within the sentence)"/>
    <w:basedOn w:val="DefaultParagraphFont"/>
    <w:uiPriority w:val="6"/>
    <w:rsid w:val="00366821"/>
    <w:rPr>
      <w:i/>
    </w:rPr>
  </w:style>
  <w:style w:type="paragraph" w:customStyle="1" w:styleId="Heading1-Subnonboldtext">
    <w:name w:val="Heading 1 - Sub (non bold text)"/>
    <w:basedOn w:val="BodyText"/>
    <w:uiPriority w:val="1"/>
    <w:rsid w:val="00A60734"/>
    <w:pPr>
      <w:tabs>
        <w:tab w:val="left" w:pos="2552"/>
      </w:tabs>
      <w:spacing w:after="0"/>
      <w:ind w:left="2552" w:hanging="2552"/>
    </w:pPr>
  </w:style>
  <w:style w:type="paragraph" w:customStyle="1" w:styleId="Tablebodytext">
    <w:name w:val="Table body text"/>
    <w:basedOn w:val="BodyText"/>
    <w:uiPriority w:val="2"/>
    <w:rsid w:val="00366821"/>
    <w:pPr>
      <w:spacing w:before="120" w:after="120"/>
    </w:pPr>
    <w:rPr>
      <w:sz w:val="22"/>
    </w:rPr>
  </w:style>
  <w:style w:type="paragraph" w:customStyle="1" w:styleId="Tablebodytextnospaceafter">
    <w:name w:val="Table body text (no space after)"/>
    <w:basedOn w:val="BodyText"/>
    <w:uiPriority w:val="2"/>
    <w:rsid w:val="00366821"/>
    <w:pPr>
      <w:spacing w:after="0"/>
    </w:pPr>
    <w:rPr>
      <w:sz w:val="22"/>
    </w:rPr>
  </w:style>
  <w:style w:type="table" w:customStyle="1" w:styleId="TableBox">
    <w:name w:val="Table Box"/>
    <w:basedOn w:val="TableNormal"/>
    <w:uiPriority w:val="99"/>
    <w:rsid w:val="00DB5B9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366821"/>
    <w:rPr>
      <w:color w:val="3C98E7"/>
      <w:u w:val="single"/>
    </w:rPr>
  </w:style>
  <w:style w:type="paragraph" w:customStyle="1" w:styleId="Headingboxtextinbody">
    <w:name w:val="Heading box text (in body)"/>
    <w:basedOn w:val="Normalcolour"/>
    <w:uiPriority w:val="1"/>
    <w:rsid w:val="00366821"/>
    <w:pPr>
      <w:keepNext/>
      <w:spacing w:before="360" w:after="60" w:line="320" w:lineRule="atLeast"/>
    </w:pPr>
    <w:rPr>
      <w:b/>
      <w:sz w:val="26"/>
    </w:rPr>
  </w:style>
  <w:style w:type="paragraph" w:customStyle="1" w:styleId="Headingboxtexttop">
    <w:name w:val="Heading box text (top)"/>
    <w:basedOn w:val="Normalcolour"/>
    <w:uiPriority w:val="1"/>
    <w:rsid w:val="00366821"/>
    <w:pPr>
      <w:spacing w:after="60" w:line="320" w:lineRule="atLeast"/>
    </w:pPr>
    <w:rPr>
      <w:b/>
      <w:sz w:val="26"/>
    </w:rPr>
  </w:style>
  <w:style w:type="paragraph" w:customStyle="1" w:styleId="Singlespacedparagraph">
    <w:name w:val="Single spaced paragraph"/>
    <w:basedOn w:val="BodyText"/>
    <w:uiPriority w:val="2"/>
    <w:rsid w:val="00F5529A"/>
    <w:pPr>
      <w:spacing w:after="0"/>
    </w:pPr>
  </w:style>
  <w:style w:type="paragraph" w:customStyle="1" w:styleId="Footerline">
    <w:name w:val="Footer line"/>
    <w:basedOn w:val="Footer"/>
    <w:next w:val="Footer"/>
    <w:uiPriority w:val="10"/>
    <w:rsid w:val="00366821"/>
    <w:pPr>
      <w:pBdr>
        <w:top w:val="single" w:sz="4" w:space="5" w:color="696969"/>
      </w:pBdr>
      <w:ind w:left="23" w:right="23"/>
    </w:pPr>
    <w:rPr>
      <w:sz w:val="2"/>
    </w:rPr>
  </w:style>
  <w:style w:type="paragraph" w:customStyle="1" w:styleId="Headerline">
    <w:name w:val="Header line"/>
    <w:basedOn w:val="Header"/>
    <w:rsid w:val="00366821"/>
    <w:pPr>
      <w:pBdr>
        <w:bottom w:val="single" w:sz="4" w:space="5" w:color="696969"/>
      </w:pBdr>
      <w:ind w:left="23" w:right="23"/>
    </w:pPr>
    <w:rPr>
      <w:sz w:val="2"/>
    </w:rPr>
  </w:style>
  <w:style w:type="paragraph" w:customStyle="1" w:styleId="Legindent1">
    <w:name w:val="Leg indent 1"/>
    <w:basedOn w:val="Normal"/>
    <w:uiPriority w:val="9"/>
    <w:semiHidden/>
    <w:rsid w:val="00366821"/>
    <w:pPr>
      <w:ind w:left="851"/>
    </w:pPr>
  </w:style>
  <w:style w:type="paragraph" w:customStyle="1" w:styleId="Legindent2">
    <w:name w:val="Leg indent 2"/>
    <w:basedOn w:val="Normal"/>
    <w:uiPriority w:val="9"/>
    <w:semiHidden/>
    <w:rsid w:val="00366821"/>
    <w:pPr>
      <w:ind w:left="1559"/>
    </w:pPr>
  </w:style>
  <w:style w:type="paragraph" w:customStyle="1" w:styleId="Legindent3">
    <w:name w:val="Leg indent 3"/>
    <w:basedOn w:val="Normal"/>
    <w:uiPriority w:val="9"/>
    <w:semiHidden/>
    <w:rsid w:val="00366821"/>
    <w:pPr>
      <w:ind w:left="2268"/>
    </w:pPr>
  </w:style>
  <w:style w:type="paragraph" w:customStyle="1" w:styleId="Legstyle-1">
    <w:name w:val="Leg style - (1)"/>
    <w:basedOn w:val="Normal"/>
    <w:uiPriority w:val="9"/>
    <w:semiHidden/>
    <w:rsid w:val="00366821"/>
    <w:pPr>
      <w:tabs>
        <w:tab w:val="left" w:pos="851"/>
      </w:tabs>
      <w:ind w:left="851" w:hanging="851"/>
    </w:pPr>
  </w:style>
  <w:style w:type="paragraph" w:customStyle="1" w:styleId="Legstyle-a">
    <w:name w:val="Leg style - (a)"/>
    <w:basedOn w:val="Normal"/>
    <w:uiPriority w:val="9"/>
    <w:semiHidden/>
    <w:rsid w:val="00366821"/>
    <w:pPr>
      <w:tabs>
        <w:tab w:val="left" w:pos="1559"/>
      </w:tabs>
      <w:ind w:left="1560" w:hanging="709"/>
    </w:pPr>
  </w:style>
  <w:style w:type="paragraph" w:customStyle="1" w:styleId="Legstyle-i">
    <w:name w:val="Leg style - (i)"/>
    <w:basedOn w:val="Normal"/>
    <w:uiPriority w:val="9"/>
    <w:semiHidden/>
    <w:rsid w:val="00366821"/>
    <w:pPr>
      <w:tabs>
        <w:tab w:val="left" w:pos="2268"/>
      </w:tabs>
      <w:ind w:left="2268" w:hanging="709"/>
    </w:pPr>
  </w:style>
  <w:style w:type="paragraph" w:customStyle="1" w:styleId="Legstyle-10">
    <w:name w:val="Leg style - 1"/>
    <w:basedOn w:val="Normal"/>
    <w:uiPriority w:val="9"/>
    <w:semiHidden/>
    <w:rsid w:val="00366821"/>
    <w:pPr>
      <w:tabs>
        <w:tab w:val="left" w:pos="851"/>
      </w:tabs>
      <w:ind w:left="851" w:hanging="851"/>
    </w:pPr>
    <w:rPr>
      <w:b/>
    </w:rPr>
  </w:style>
  <w:style w:type="paragraph" w:customStyle="1" w:styleId="QLegindent1">
    <w:name w:val="QLeg indent 1"/>
    <w:basedOn w:val="Normal"/>
    <w:uiPriority w:val="2"/>
    <w:semiHidden/>
    <w:rsid w:val="00366821"/>
    <w:pPr>
      <w:ind w:left="1985" w:right="567"/>
    </w:pPr>
    <w:rPr>
      <w:i/>
      <w:color w:val="4D4D4D"/>
    </w:rPr>
  </w:style>
  <w:style w:type="paragraph" w:customStyle="1" w:styleId="QLegindent2">
    <w:name w:val="QLeg indent 2"/>
    <w:basedOn w:val="Normal"/>
    <w:uiPriority w:val="2"/>
    <w:semiHidden/>
    <w:rsid w:val="00366821"/>
    <w:pPr>
      <w:ind w:left="2693" w:right="567"/>
    </w:pPr>
    <w:rPr>
      <w:i/>
      <w:color w:val="4D4D4D"/>
    </w:rPr>
  </w:style>
  <w:style w:type="paragraph" w:customStyle="1" w:styleId="QLegindent3">
    <w:name w:val="QLeg indent 3"/>
    <w:basedOn w:val="Normal"/>
    <w:uiPriority w:val="2"/>
    <w:semiHidden/>
    <w:rsid w:val="00366821"/>
    <w:pPr>
      <w:ind w:left="3402" w:right="567"/>
    </w:pPr>
    <w:rPr>
      <w:i/>
      <w:color w:val="4D4D4D"/>
    </w:rPr>
  </w:style>
  <w:style w:type="paragraph" w:customStyle="1" w:styleId="QLegstyle-1">
    <w:name w:val="QLeg style - (1)"/>
    <w:basedOn w:val="Normal"/>
    <w:uiPriority w:val="2"/>
    <w:semiHidden/>
    <w:rsid w:val="00366821"/>
    <w:pPr>
      <w:tabs>
        <w:tab w:val="left" w:pos="1985"/>
      </w:tabs>
      <w:ind w:left="1985" w:right="567" w:hanging="851"/>
    </w:pPr>
    <w:rPr>
      <w:i/>
      <w:color w:val="4D4D4D"/>
    </w:rPr>
  </w:style>
  <w:style w:type="paragraph" w:customStyle="1" w:styleId="QLegstyle-a">
    <w:name w:val="QLeg style - (a)"/>
    <w:basedOn w:val="Normal"/>
    <w:uiPriority w:val="2"/>
    <w:semiHidden/>
    <w:rsid w:val="00366821"/>
    <w:pPr>
      <w:tabs>
        <w:tab w:val="left" w:pos="2693"/>
      </w:tabs>
      <w:ind w:left="2694" w:right="567" w:hanging="709"/>
    </w:pPr>
    <w:rPr>
      <w:i/>
      <w:color w:val="4D4D4D"/>
    </w:rPr>
  </w:style>
  <w:style w:type="paragraph" w:customStyle="1" w:styleId="QLegstyle-i">
    <w:name w:val="QLeg style - (i)"/>
    <w:basedOn w:val="Normal"/>
    <w:uiPriority w:val="2"/>
    <w:semiHidden/>
    <w:rsid w:val="00366821"/>
    <w:pPr>
      <w:tabs>
        <w:tab w:val="left" w:pos="3402"/>
      </w:tabs>
      <w:ind w:left="3402" w:right="567" w:hanging="709"/>
    </w:pPr>
    <w:rPr>
      <w:i/>
      <w:color w:val="4D4D4D"/>
    </w:rPr>
  </w:style>
  <w:style w:type="paragraph" w:customStyle="1" w:styleId="QLegstyle-10">
    <w:name w:val="QLeg style - 1"/>
    <w:basedOn w:val="Normal"/>
    <w:uiPriority w:val="2"/>
    <w:semiHidden/>
    <w:rsid w:val="00366821"/>
    <w:pPr>
      <w:tabs>
        <w:tab w:val="left" w:pos="1985"/>
      </w:tabs>
      <w:ind w:left="1985" w:right="567" w:hanging="851"/>
    </w:pPr>
    <w:rPr>
      <w:b/>
      <w:i/>
      <w:color w:val="4D4D4D"/>
    </w:rPr>
  </w:style>
  <w:style w:type="paragraph" w:customStyle="1" w:styleId="DL-ourref">
    <w:name w:val="DL - our ref"/>
    <w:basedOn w:val="Normal"/>
    <w:next w:val="DL-date"/>
    <w:uiPriority w:val="12"/>
    <w:rsid w:val="00C87364"/>
    <w:pPr>
      <w:tabs>
        <w:tab w:val="left" w:pos="1134"/>
      </w:tabs>
      <w:spacing w:after="0"/>
    </w:pPr>
  </w:style>
  <w:style w:type="paragraph" w:customStyle="1" w:styleId="DL-addresslines">
    <w:name w:val="DL - address lines"/>
    <w:basedOn w:val="Normal"/>
    <w:uiPriority w:val="12"/>
    <w:rsid w:val="00C87364"/>
    <w:pPr>
      <w:spacing w:after="0" w:line="240" w:lineRule="exact"/>
    </w:pPr>
  </w:style>
  <w:style w:type="paragraph" w:customStyle="1" w:styleId="DL-salutation">
    <w:name w:val="DL - salutation"/>
    <w:basedOn w:val="Normal"/>
    <w:next w:val="Letterheading1"/>
    <w:uiPriority w:val="12"/>
    <w:rsid w:val="00C87364"/>
    <w:pPr>
      <w:spacing w:before="600" w:after="200"/>
    </w:pPr>
  </w:style>
  <w:style w:type="paragraph" w:customStyle="1" w:styleId="DL-closing">
    <w:name w:val="DL - closing"/>
    <w:basedOn w:val="Normal"/>
    <w:uiPriority w:val="12"/>
    <w:rsid w:val="00C87364"/>
    <w:pPr>
      <w:spacing w:before="240" w:after="0"/>
    </w:pPr>
  </w:style>
  <w:style w:type="paragraph" w:customStyle="1" w:styleId="DL-closingname">
    <w:name w:val="DL - closing name"/>
    <w:basedOn w:val="Normal"/>
    <w:uiPriority w:val="12"/>
    <w:rsid w:val="00C87364"/>
    <w:pPr>
      <w:spacing w:after="0"/>
    </w:pPr>
  </w:style>
  <w:style w:type="paragraph" w:customStyle="1" w:styleId="DL-closingposition">
    <w:name w:val="DL - closing position"/>
    <w:basedOn w:val="Normal"/>
    <w:uiPriority w:val="12"/>
    <w:rsid w:val="00CE74D2"/>
    <w:pPr>
      <w:spacing w:after="0"/>
    </w:pPr>
  </w:style>
  <w:style w:type="paragraph" w:customStyle="1" w:styleId="DL-enclosure">
    <w:name w:val="DL - enclosure"/>
    <w:basedOn w:val="Normal"/>
    <w:uiPriority w:val="12"/>
    <w:rsid w:val="00CE74D2"/>
    <w:pPr>
      <w:tabs>
        <w:tab w:val="left" w:pos="709"/>
      </w:tabs>
      <w:spacing w:before="120" w:after="0"/>
    </w:pPr>
  </w:style>
  <w:style w:type="paragraph" w:customStyle="1" w:styleId="DL-date">
    <w:name w:val="DL - date"/>
    <w:basedOn w:val="Normal"/>
    <w:next w:val="DL-addresslines"/>
    <w:uiPriority w:val="12"/>
    <w:rsid w:val="00C87364"/>
    <w:pPr>
      <w:spacing w:before="70" w:after="0"/>
    </w:pPr>
  </w:style>
  <w:style w:type="paragraph" w:customStyle="1" w:styleId="DL-freephonetextline">
    <w:name w:val="DL - freephone text line"/>
    <w:basedOn w:val="Normal"/>
    <w:uiPriority w:val="98"/>
    <w:rsid w:val="00C87364"/>
    <w:pPr>
      <w:spacing w:before="340" w:after="600"/>
      <w:jc w:val="right"/>
    </w:pPr>
    <w:rPr>
      <w:sz w:val="17"/>
    </w:rPr>
  </w:style>
  <w:style w:type="paragraph" w:customStyle="1" w:styleId="Letterheading1">
    <w:name w:val="Letter heading 1"/>
    <w:basedOn w:val="Normal"/>
    <w:uiPriority w:val="1"/>
    <w:rsid w:val="00F148D8"/>
    <w:pPr>
      <w:spacing w:after="100"/>
      <w:ind w:right="284"/>
      <w:contextualSpacing/>
    </w:pPr>
    <w:rPr>
      <w:b/>
      <w:sz w:val="26"/>
    </w:rPr>
  </w:style>
  <w:style w:type="paragraph" w:customStyle="1" w:styleId="Letterheading2">
    <w:name w:val="Letter heading 2"/>
    <w:basedOn w:val="Normal"/>
    <w:next w:val="BodyText"/>
    <w:uiPriority w:val="1"/>
    <w:rsid w:val="003F788F"/>
    <w:pPr>
      <w:spacing w:before="320" w:after="80" w:line="240" w:lineRule="auto"/>
      <w:ind w:right="284"/>
    </w:pPr>
    <w:rPr>
      <w:b/>
    </w:rPr>
  </w:style>
  <w:style w:type="paragraph" w:customStyle="1" w:styleId="Letterheading3">
    <w:name w:val="Letter heading 3"/>
    <w:basedOn w:val="Normal"/>
    <w:next w:val="BodyText"/>
    <w:uiPriority w:val="1"/>
    <w:rsid w:val="003F788F"/>
    <w:pPr>
      <w:spacing w:before="280" w:after="60" w:line="240" w:lineRule="auto"/>
      <w:ind w:right="284"/>
    </w:pPr>
    <w:rPr>
      <w:b/>
      <w:sz w:val="22"/>
    </w:rPr>
  </w:style>
  <w:style w:type="paragraph" w:customStyle="1" w:styleId="Letterheading4">
    <w:name w:val="Letter heading 4"/>
    <w:basedOn w:val="Normal"/>
    <w:next w:val="BodyText"/>
    <w:uiPriority w:val="1"/>
    <w:rsid w:val="003F788F"/>
    <w:pPr>
      <w:spacing w:before="240" w:after="60" w:line="240" w:lineRule="auto"/>
      <w:ind w:right="284"/>
    </w:pPr>
    <w:rPr>
      <w:b/>
      <w:caps/>
      <w:sz w:val="20"/>
    </w:rPr>
  </w:style>
  <w:style w:type="paragraph" w:customStyle="1" w:styleId="Guidelines">
    <w:name w:val="Guidelines"/>
    <w:basedOn w:val="Normal"/>
    <w:next w:val="BodyText"/>
    <w:uiPriority w:val="2"/>
    <w:rsid w:val="006A21F4"/>
    <w:rPr>
      <w:color w:val="00B050"/>
    </w:rPr>
  </w:style>
  <w:style w:type="paragraph" w:customStyle="1" w:styleId="Heading1-Start">
    <w:name w:val="Heading 1 - Start"/>
    <w:basedOn w:val="Heading1"/>
    <w:next w:val="BodyText"/>
    <w:uiPriority w:val="1"/>
    <w:rsid w:val="00366821"/>
    <w:pPr>
      <w:spacing w:before="200"/>
    </w:pPr>
  </w:style>
  <w:style w:type="paragraph" w:customStyle="1" w:styleId="Legstyle1-1">
    <w:name w:val="Leg style 1 - 1"/>
    <w:basedOn w:val="Normal"/>
    <w:uiPriority w:val="9"/>
    <w:semiHidden/>
    <w:rsid w:val="00366821"/>
    <w:pPr>
      <w:tabs>
        <w:tab w:val="num" w:pos="567"/>
      </w:tabs>
      <w:spacing w:after="120"/>
      <w:ind w:left="567" w:hanging="567"/>
    </w:pPr>
    <w:rPr>
      <w:b/>
    </w:rPr>
  </w:style>
  <w:style w:type="paragraph" w:customStyle="1" w:styleId="Legstyle1-10">
    <w:name w:val="Leg style 1 - (1)"/>
    <w:basedOn w:val="Normal"/>
    <w:uiPriority w:val="9"/>
    <w:semiHidden/>
    <w:rsid w:val="00366821"/>
    <w:pPr>
      <w:tabs>
        <w:tab w:val="num" w:pos="567"/>
      </w:tabs>
      <w:spacing w:after="120"/>
      <w:ind w:left="567" w:hanging="567"/>
    </w:pPr>
  </w:style>
  <w:style w:type="paragraph" w:customStyle="1" w:styleId="Legstyle1-a">
    <w:name w:val="Leg style 1 - (a)"/>
    <w:basedOn w:val="Normal"/>
    <w:uiPriority w:val="9"/>
    <w:semiHidden/>
    <w:rsid w:val="00366821"/>
    <w:pPr>
      <w:tabs>
        <w:tab w:val="num" w:pos="1134"/>
      </w:tabs>
      <w:spacing w:after="120"/>
      <w:ind w:left="1134" w:hanging="567"/>
    </w:pPr>
  </w:style>
  <w:style w:type="paragraph" w:customStyle="1" w:styleId="Legstyle1-i">
    <w:name w:val="Leg style 1 - (i)"/>
    <w:basedOn w:val="Normal"/>
    <w:uiPriority w:val="9"/>
    <w:semiHidden/>
    <w:rsid w:val="00366821"/>
    <w:pPr>
      <w:tabs>
        <w:tab w:val="num" w:pos="1701"/>
      </w:tabs>
      <w:spacing w:after="120"/>
      <w:ind w:left="1701" w:hanging="567"/>
    </w:pPr>
  </w:style>
  <w:style w:type="paragraph" w:styleId="Title">
    <w:name w:val="Title"/>
    <w:basedOn w:val="Normalcolour"/>
    <w:next w:val="BodyText"/>
    <w:link w:val="TitleChar"/>
    <w:uiPriority w:val="1"/>
    <w:rsid w:val="00366821"/>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A60734"/>
    <w:pPr>
      <w:ind w:left="1134" w:right="567"/>
    </w:pPr>
    <w:rPr>
      <w:i/>
      <w:color w:val="4D4D4D"/>
    </w:rPr>
  </w:style>
  <w:style w:type="paragraph" w:customStyle="1" w:styleId="QIndent2">
    <w:name w:val="QIndent 2"/>
    <w:basedOn w:val="Normal"/>
    <w:uiPriority w:val="6"/>
    <w:rsid w:val="00A60734"/>
    <w:pPr>
      <w:ind w:left="1701" w:right="567"/>
    </w:pPr>
    <w:rPr>
      <w:i/>
      <w:color w:val="4D4D4D"/>
    </w:rPr>
  </w:style>
  <w:style w:type="paragraph" w:customStyle="1" w:styleId="QIndent3">
    <w:name w:val="QIndent 3"/>
    <w:basedOn w:val="Normal"/>
    <w:uiPriority w:val="6"/>
    <w:rsid w:val="00A60734"/>
    <w:pPr>
      <w:ind w:left="2268" w:right="567"/>
    </w:pPr>
    <w:rPr>
      <w:i/>
      <w:color w:val="4D4D4D"/>
    </w:rPr>
  </w:style>
  <w:style w:type="paragraph" w:customStyle="1" w:styleId="QListalpha">
    <w:name w:val="QList alpha"/>
    <w:basedOn w:val="Normal"/>
    <w:uiPriority w:val="6"/>
    <w:rsid w:val="00A60734"/>
    <w:pPr>
      <w:numPr>
        <w:numId w:val="20"/>
      </w:numPr>
      <w:ind w:right="567"/>
    </w:pPr>
    <w:rPr>
      <w:i/>
      <w:color w:val="4D4D4D"/>
    </w:rPr>
  </w:style>
  <w:style w:type="paragraph" w:customStyle="1" w:styleId="QListbullet">
    <w:name w:val="QList bullet"/>
    <w:basedOn w:val="Normal"/>
    <w:uiPriority w:val="6"/>
    <w:rsid w:val="00A60734"/>
    <w:pPr>
      <w:numPr>
        <w:numId w:val="21"/>
      </w:numPr>
      <w:ind w:right="567"/>
    </w:pPr>
    <w:rPr>
      <w:i/>
      <w:color w:val="4D4D4D"/>
    </w:rPr>
  </w:style>
  <w:style w:type="paragraph" w:customStyle="1" w:styleId="QListnumber">
    <w:name w:val="QList number"/>
    <w:basedOn w:val="Normal"/>
    <w:uiPriority w:val="6"/>
    <w:rsid w:val="00A60734"/>
    <w:pPr>
      <w:numPr>
        <w:numId w:val="22"/>
      </w:numPr>
      <w:ind w:right="567"/>
    </w:pPr>
    <w:rPr>
      <w:i/>
      <w:color w:val="4D4D4D"/>
    </w:rPr>
  </w:style>
  <w:style w:type="paragraph" w:customStyle="1" w:styleId="QListroman">
    <w:name w:val="QList roman"/>
    <w:basedOn w:val="Normal"/>
    <w:uiPriority w:val="6"/>
    <w:rsid w:val="00A60734"/>
    <w:pPr>
      <w:numPr>
        <w:numId w:val="23"/>
      </w:numPr>
      <w:ind w:right="567"/>
    </w:pPr>
    <w:rPr>
      <w:rFonts w:eastAsia="Times New Roman" w:cs="Times New Roman"/>
      <w:i/>
      <w:color w:val="4D4D4D"/>
      <w:szCs w:val="20"/>
    </w:rPr>
  </w:style>
  <w:style w:type="paragraph" w:customStyle="1" w:styleId="Bullet1">
    <w:name w:val="Bullet 1"/>
    <w:basedOn w:val="Normal"/>
    <w:uiPriority w:val="2"/>
    <w:rsid w:val="00A60734"/>
    <w:pPr>
      <w:numPr>
        <w:numId w:val="13"/>
      </w:numPr>
    </w:pPr>
  </w:style>
  <w:style w:type="paragraph" w:customStyle="1" w:styleId="Bullet2">
    <w:name w:val="Bullet 2"/>
    <w:basedOn w:val="Normal"/>
    <w:uiPriority w:val="2"/>
    <w:rsid w:val="00A60734"/>
    <w:pPr>
      <w:numPr>
        <w:ilvl w:val="1"/>
        <w:numId w:val="13"/>
      </w:numPr>
    </w:pPr>
  </w:style>
  <w:style w:type="paragraph" w:customStyle="1" w:styleId="Bullet3">
    <w:name w:val="Bullet 3"/>
    <w:basedOn w:val="Normal"/>
    <w:uiPriority w:val="2"/>
    <w:rsid w:val="00A60734"/>
    <w:pPr>
      <w:numPr>
        <w:ilvl w:val="2"/>
        <w:numId w:val="13"/>
      </w:numPr>
    </w:pPr>
  </w:style>
  <w:style w:type="paragraph" w:customStyle="1" w:styleId="Bullet4">
    <w:name w:val="Bullet 4"/>
    <w:basedOn w:val="Normal"/>
    <w:uiPriority w:val="2"/>
    <w:rsid w:val="00A60734"/>
    <w:pPr>
      <w:numPr>
        <w:ilvl w:val="3"/>
        <w:numId w:val="13"/>
      </w:numPr>
    </w:pPr>
  </w:style>
  <w:style w:type="paragraph" w:customStyle="1" w:styleId="Indent1">
    <w:name w:val="Indent 1"/>
    <w:basedOn w:val="Normal"/>
    <w:uiPriority w:val="4"/>
    <w:rsid w:val="00A60734"/>
    <w:pPr>
      <w:ind w:left="567"/>
    </w:pPr>
  </w:style>
  <w:style w:type="paragraph" w:customStyle="1" w:styleId="Indent2">
    <w:name w:val="Indent 2"/>
    <w:basedOn w:val="Normal"/>
    <w:uiPriority w:val="4"/>
    <w:rsid w:val="00A60734"/>
    <w:pPr>
      <w:ind w:left="1134"/>
    </w:pPr>
  </w:style>
  <w:style w:type="paragraph" w:customStyle="1" w:styleId="Indent3">
    <w:name w:val="Indent 3"/>
    <w:basedOn w:val="Normal"/>
    <w:uiPriority w:val="4"/>
    <w:rsid w:val="00A60734"/>
    <w:pPr>
      <w:ind w:left="1701"/>
    </w:pPr>
  </w:style>
  <w:style w:type="paragraph" w:customStyle="1" w:styleId="Indent4">
    <w:name w:val="Indent 4"/>
    <w:basedOn w:val="Normal"/>
    <w:uiPriority w:val="4"/>
    <w:rsid w:val="00A60734"/>
    <w:pPr>
      <w:ind w:left="2268"/>
    </w:pPr>
  </w:style>
  <w:style w:type="paragraph" w:customStyle="1" w:styleId="Number-1">
    <w:name w:val="Number - 1."/>
    <w:basedOn w:val="BodyText"/>
    <w:uiPriority w:val="5"/>
    <w:rsid w:val="00A60734"/>
    <w:pPr>
      <w:numPr>
        <w:numId w:val="17"/>
      </w:numPr>
    </w:pPr>
  </w:style>
  <w:style w:type="paragraph" w:customStyle="1" w:styleId="Number-11">
    <w:name w:val="Number - 1.1"/>
    <w:basedOn w:val="Normal"/>
    <w:uiPriority w:val="5"/>
    <w:rsid w:val="00A60734"/>
    <w:pPr>
      <w:numPr>
        <w:ilvl w:val="1"/>
        <w:numId w:val="17"/>
      </w:numPr>
    </w:pPr>
  </w:style>
  <w:style w:type="paragraph" w:customStyle="1" w:styleId="Number-111">
    <w:name w:val="Number - 1.1.1"/>
    <w:basedOn w:val="Normal"/>
    <w:uiPriority w:val="5"/>
    <w:rsid w:val="00A60734"/>
    <w:pPr>
      <w:numPr>
        <w:ilvl w:val="2"/>
        <w:numId w:val="17"/>
      </w:numPr>
    </w:pPr>
  </w:style>
  <w:style w:type="paragraph" w:customStyle="1" w:styleId="Number-a">
    <w:name w:val="Number - a."/>
    <w:basedOn w:val="Normal"/>
    <w:uiPriority w:val="5"/>
    <w:rsid w:val="00A60734"/>
    <w:pPr>
      <w:numPr>
        <w:numId w:val="18"/>
      </w:numPr>
    </w:pPr>
  </w:style>
  <w:style w:type="paragraph" w:customStyle="1" w:styleId="Number-i">
    <w:name w:val="Number - i."/>
    <w:basedOn w:val="Normal"/>
    <w:uiPriority w:val="5"/>
    <w:rsid w:val="00A60734"/>
    <w:pPr>
      <w:numPr>
        <w:ilvl w:val="1"/>
        <w:numId w:val="18"/>
      </w:numPr>
    </w:pPr>
  </w:style>
  <w:style w:type="paragraph" w:customStyle="1" w:styleId="Number1">
    <w:name w:val="Number 1"/>
    <w:basedOn w:val="Normal"/>
    <w:uiPriority w:val="5"/>
    <w:rsid w:val="00A60734"/>
    <w:pPr>
      <w:numPr>
        <w:numId w:val="19"/>
      </w:numPr>
    </w:pPr>
  </w:style>
  <w:style w:type="paragraph" w:customStyle="1" w:styleId="Number2">
    <w:name w:val="Number 2"/>
    <w:basedOn w:val="Normal"/>
    <w:uiPriority w:val="5"/>
    <w:rsid w:val="00A60734"/>
    <w:pPr>
      <w:numPr>
        <w:ilvl w:val="1"/>
        <w:numId w:val="19"/>
      </w:numPr>
    </w:pPr>
  </w:style>
  <w:style w:type="paragraph" w:customStyle="1" w:styleId="Number3">
    <w:name w:val="Number 3"/>
    <w:basedOn w:val="Normal"/>
    <w:uiPriority w:val="5"/>
    <w:rsid w:val="00A60734"/>
    <w:pPr>
      <w:numPr>
        <w:ilvl w:val="2"/>
        <w:numId w:val="19"/>
      </w:numPr>
    </w:pPr>
  </w:style>
  <w:style w:type="paragraph" w:customStyle="1" w:styleId="TableBullet1">
    <w:name w:val="Table Bullet 1"/>
    <w:basedOn w:val="Normal"/>
    <w:uiPriority w:val="2"/>
    <w:rsid w:val="00A60734"/>
    <w:pPr>
      <w:numPr>
        <w:numId w:val="24"/>
      </w:numPr>
      <w:spacing w:before="120" w:after="120"/>
    </w:pPr>
    <w:rPr>
      <w:sz w:val="22"/>
    </w:rPr>
  </w:style>
  <w:style w:type="paragraph" w:customStyle="1" w:styleId="TableBullet2">
    <w:name w:val="Table Bullet 2"/>
    <w:basedOn w:val="Normal"/>
    <w:uiPriority w:val="2"/>
    <w:rsid w:val="00A60734"/>
    <w:pPr>
      <w:numPr>
        <w:ilvl w:val="1"/>
        <w:numId w:val="24"/>
      </w:numPr>
      <w:spacing w:before="120" w:after="120"/>
    </w:pPr>
    <w:rPr>
      <w:sz w:val="22"/>
    </w:rPr>
  </w:style>
  <w:style w:type="paragraph" w:customStyle="1" w:styleId="TableBullet3">
    <w:name w:val="Table Bullet 3"/>
    <w:basedOn w:val="Normal"/>
    <w:uiPriority w:val="2"/>
    <w:rsid w:val="00A60734"/>
    <w:pPr>
      <w:numPr>
        <w:ilvl w:val="2"/>
        <w:numId w:val="24"/>
      </w:numPr>
      <w:spacing w:before="120" w:after="120"/>
    </w:pPr>
    <w:rPr>
      <w:sz w:val="22"/>
    </w:rPr>
  </w:style>
  <w:style w:type="paragraph" w:customStyle="1" w:styleId="Tableheading">
    <w:name w:val="Table heading"/>
    <w:basedOn w:val="Tablebodytext"/>
    <w:next w:val="Tablebodytext"/>
    <w:uiPriority w:val="2"/>
    <w:rsid w:val="00366821"/>
    <w:pPr>
      <w:keepNext/>
      <w:spacing w:before="280" w:after="60"/>
    </w:pPr>
    <w:rPr>
      <w:b/>
    </w:rPr>
  </w:style>
  <w:style w:type="paragraph" w:customStyle="1" w:styleId="TableIndent1">
    <w:name w:val="Table Indent 1"/>
    <w:basedOn w:val="Normal"/>
    <w:uiPriority w:val="2"/>
    <w:rsid w:val="00A60734"/>
    <w:pPr>
      <w:spacing w:before="120" w:after="120"/>
      <w:ind w:left="357"/>
    </w:pPr>
    <w:rPr>
      <w:sz w:val="22"/>
    </w:rPr>
  </w:style>
  <w:style w:type="paragraph" w:customStyle="1" w:styleId="TableIndent2">
    <w:name w:val="Table Indent 2"/>
    <w:basedOn w:val="Normal"/>
    <w:uiPriority w:val="2"/>
    <w:rsid w:val="00A60734"/>
    <w:pPr>
      <w:spacing w:before="120" w:after="120"/>
      <w:ind w:left="714"/>
    </w:pPr>
    <w:rPr>
      <w:sz w:val="22"/>
    </w:rPr>
  </w:style>
  <w:style w:type="paragraph" w:customStyle="1" w:styleId="TableIndent3">
    <w:name w:val="Table Indent 3"/>
    <w:basedOn w:val="Normal"/>
    <w:uiPriority w:val="2"/>
    <w:rsid w:val="00A60734"/>
    <w:pPr>
      <w:spacing w:before="120" w:after="120"/>
      <w:ind w:left="1072"/>
    </w:pPr>
    <w:rPr>
      <w:sz w:val="22"/>
    </w:rPr>
  </w:style>
  <w:style w:type="paragraph" w:customStyle="1" w:styleId="TableNumber1">
    <w:name w:val="Table Number 1."/>
    <w:basedOn w:val="Normal"/>
    <w:uiPriority w:val="2"/>
    <w:rsid w:val="00A60734"/>
    <w:pPr>
      <w:numPr>
        <w:numId w:val="26"/>
      </w:numPr>
      <w:spacing w:before="120" w:after="120"/>
    </w:pPr>
    <w:rPr>
      <w:sz w:val="22"/>
    </w:rPr>
  </w:style>
  <w:style w:type="paragraph" w:customStyle="1" w:styleId="TableNumbera">
    <w:name w:val="Table Number a."/>
    <w:basedOn w:val="Normal"/>
    <w:uiPriority w:val="2"/>
    <w:rsid w:val="00A60734"/>
    <w:pPr>
      <w:numPr>
        <w:ilvl w:val="1"/>
        <w:numId w:val="26"/>
      </w:numPr>
      <w:spacing w:before="120" w:after="120"/>
    </w:pPr>
    <w:rPr>
      <w:sz w:val="22"/>
    </w:rPr>
  </w:style>
  <w:style w:type="paragraph" w:customStyle="1" w:styleId="TableNumberi">
    <w:name w:val="Table Number i."/>
    <w:basedOn w:val="Normal"/>
    <w:uiPriority w:val="2"/>
    <w:rsid w:val="00A60734"/>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366821"/>
    <w:pPr>
      <w:spacing w:after="120"/>
      <w:ind w:left="357" w:right="357"/>
    </w:pPr>
    <w:rPr>
      <w:sz w:val="22"/>
    </w:rPr>
  </w:style>
  <w:style w:type="paragraph" w:customStyle="1" w:styleId="Tablesinglespacedparagraph">
    <w:name w:val="Table single spaced paragraph"/>
    <w:basedOn w:val="BodyText"/>
    <w:uiPriority w:val="2"/>
    <w:rsid w:val="00366821"/>
    <w:pPr>
      <w:spacing w:before="40" w:after="40"/>
    </w:pPr>
    <w:rPr>
      <w:sz w:val="22"/>
    </w:rPr>
  </w:style>
  <w:style w:type="paragraph" w:customStyle="1" w:styleId="Tablesinglespacedparagraphlast">
    <w:name w:val="Table single spaced paragraph (last)"/>
    <w:basedOn w:val="Tablesinglespacedparagraph"/>
    <w:uiPriority w:val="2"/>
    <w:rsid w:val="00366821"/>
  </w:style>
  <w:style w:type="character" w:styleId="CommentReference">
    <w:name w:val="annotation reference"/>
    <w:basedOn w:val="DefaultParagraphFont"/>
    <w:uiPriority w:val="99"/>
    <w:semiHidden/>
    <w:unhideWhenUsed/>
    <w:rsid w:val="00366821"/>
    <w:rPr>
      <w:sz w:val="16"/>
      <w:szCs w:val="16"/>
    </w:rPr>
  </w:style>
  <w:style w:type="paragraph" w:customStyle="1" w:styleId="Tablecaption">
    <w:name w:val="Table caption"/>
    <w:basedOn w:val="Normal"/>
    <w:next w:val="BodyText"/>
    <w:uiPriority w:val="98"/>
    <w:rsid w:val="00A60734"/>
    <w:pPr>
      <w:keepNext/>
      <w:spacing w:before="360" w:after="60" w:line="260" w:lineRule="atLeast"/>
    </w:pPr>
    <w:rPr>
      <w:b/>
      <w:sz w:val="26"/>
    </w:rPr>
  </w:style>
  <w:style w:type="paragraph" w:customStyle="1" w:styleId="FigureCaption">
    <w:name w:val="Figure Caption"/>
    <w:basedOn w:val="Normal"/>
    <w:next w:val="BodyText"/>
    <w:uiPriority w:val="2"/>
    <w:rsid w:val="00366821"/>
    <w:pPr>
      <w:spacing w:line="240" w:lineRule="auto"/>
    </w:pPr>
    <w:rPr>
      <w:i/>
    </w:rPr>
  </w:style>
  <w:style w:type="paragraph" w:customStyle="1" w:styleId="Footerlandscape">
    <w:name w:val="Footer landscape"/>
    <w:basedOn w:val="Footer"/>
    <w:uiPriority w:val="10"/>
    <w:rsid w:val="00366821"/>
  </w:style>
  <w:style w:type="paragraph" w:customStyle="1" w:styleId="Headerlandscape">
    <w:name w:val="Header landscape"/>
    <w:basedOn w:val="Header"/>
    <w:rsid w:val="00366821"/>
  </w:style>
  <w:style w:type="paragraph" w:customStyle="1" w:styleId="Footerportraitletter">
    <w:name w:val="Footer portrait letter"/>
    <w:basedOn w:val="Footer"/>
    <w:uiPriority w:val="10"/>
    <w:rsid w:val="00366821"/>
    <w:pPr>
      <w:tabs>
        <w:tab w:val="right" w:pos="9526"/>
      </w:tabs>
    </w:pPr>
  </w:style>
  <w:style w:type="paragraph" w:customStyle="1" w:styleId="Headerportraitletter">
    <w:name w:val="Header portrait letter"/>
    <w:basedOn w:val="Header"/>
    <w:rsid w:val="00366821"/>
  </w:style>
  <w:style w:type="paragraph" w:customStyle="1" w:styleId="Headerportraitopinion">
    <w:name w:val="Header portrait opinion"/>
    <w:basedOn w:val="Header"/>
    <w:rsid w:val="00366821"/>
  </w:style>
  <w:style w:type="paragraph" w:customStyle="1" w:styleId="Footerportraitopinion">
    <w:name w:val="Footer portrait opinion"/>
    <w:basedOn w:val="Footer"/>
    <w:uiPriority w:val="10"/>
    <w:rsid w:val="00366821"/>
    <w:pPr>
      <w:tabs>
        <w:tab w:val="right" w:pos="9299"/>
      </w:tabs>
    </w:pPr>
  </w:style>
  <w:style w:type="paragraph" w:customStyle="1" w:styleId="DL-contact">
    <w:name w:val="DL - contact"/>
    <w:basedOn w:val="DL-date"/>
    <w:next w:val="DL-date"/>
    <w:uiPriority w:val="98"/>
    <w:rsid w:val="00C87364"/>
    <w:pPr>
      <w:tabs>
        <w:tab w:val="left" w:pos="1134"/>
      </w:tabs>
      <w:spacing w:before="0"/>
    </w:pPr>
  </w:style>
  <w:style w:type="character" w:customStyle="1" w:styleId="Italics">
    <w:name w:val="Italics"/>
    <w:basedOn w:val="Emphasis"/>
    <w:uiPriority w:val="2"/>
    <w:rsid w:val="00366821"/>
    <w:rPr>
      <w:rFonts w:ascii="Calibri" w:hAnsi="Calibri"/>
      <w:b w:val="0"/>
      <w:bCs/>
      <w:i/>
      <w:iCs/>
      <w:spacing w:val="0"/>
      <w:lang w:val="en-NZ"/>
    </w:rPr>
  </w:style>
  <w:style w:type="paragraph" w:customStyle="1" w:styleId="Footerlandscapeletter">
    <w:name w:val="Footer landscape letter"/>
    <w:basedOn w:val="Footer"/>
    <w:uiPriority w:val="10"/>
    <w:rsid w:val="00366821"/>
  </w:style>
  <w:style w:type="paragraph" w:customStyle="1" w:styleId="Footerlandscapeopinion">
    <w:name w:val="Footer landscape opinion"/>
    <w:basedOn w:val="Footerlandscape"/>
    <w:uiPriority w:val="10"/>
    <w:rsid w:val="00366821"/>
  </w:style>
  <w:style w:type="paragraph" w:customStyle="1" w:styleId="Headerlandscapeletter">
    <w:name w:val="Header landscape letter"/>
    <w:basedOn w:val="Header"/>
    <w:rsid w:val="00366821"/>
  </w:style>
  <w:style w:type="paragraph" w:customStyle="1" w:styleId="Headerlandscapeopinion">
    <w:name w:val="Header landscape opinion"/>
    <w:basedOn w:val="Header"/>
    <w:rsid w:val="00366821"/>
  </w:style>
  <w:style w:type="character" w:customStyle="1" w:styleId="Bluetext">
    <w:name w:val="Blue text"/>
    <w:basedOn w:val="DefaultParagraphFont"/>
    <w:uiPriority w:val="2"/>
    <w:rsid w:val="00366821"/>
    <w:rPr>
      <w:color w:val="0070C0"/>
    </w:rPr>
  </w:style>
  <w:style w:type="numbering" w:styleId="111111">
    <w:name w:val="Outline List 2"/>
    <w:basedOn w:val="NoList"/>
    <w:uiPriority w:val="99"/>
    <w:semiHidden/>
    <w:unhideWhenUsed/>
    <w:rsid w:val="00A60734"/>
    <w:pPr>
      <w:numPr>
        <w:numId w:val="8"/>
      </w:numPr>
    </w:pPr>
  </w:style>
  <w:style w:type="numbering" w:styleId="1ai">
    <w:name w:val="Outline List 1"/>
    <w:basedOn w:val="NoList"/>
    <w:uiPriority w:val="99"/>
    <w:semiHidden/>
    <w:unhideWhenUsed/>
    <w:rsid w:val="00A60734"/>
    <w:pPr>
      <w:numPr>
        <w:numId w:val="9"/>
      </w:numPr>
    </w:pPr>
  </w:style>
  <w:style w:type="numbering" w:styleId="ArticleSection">
    <w:name w:val="Outline List 3"/>
    <w:basedOn w:val="NoList"/>
    <w:uiPriority w:val="99"/>
    <w:semiHidden/>
    <w:unhideWhenUsed/>
    <w:rsid w:val="00A60734"/>
    <w:pPr>
      <w:numPr>
        <w:numId w:val="10"/>
      </w:numPr>
    </w:pPr>
  </w:style>
  <w:style w:type="paragraph" w:styleId="BlockText">
    <w:name w:val="Block Text"/>
    <w:basedOn w:val="Normal"/>
    <w:uiPriority w:val="99"/>
    <w:semiHidden/>
    <w:unhideWhenUsed/>
    <w:rsid w:val="003413C0"/>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3413C0"/>
    <w:pPr>
      <w:spacing w:after="120" w:line="480" w:lineRule="auto"/>
    </w:pPr>
  </w:style>
  <w:style w:type="character" w:customStyle="1" w:styleId="BodyText2Char">
    <w:name w:val="Body Text 2 Char"/>
    <w:basedOn w:val="DefaultParagraphFont"/>
    <w:link w:val="BodyText2"/>
    <w:uiPriority w:val="99"/>
    <w:semiHidden/>
    <w:rsid w:val="003413C0"/>
    <w:rPr>
      <w:rFonts w:ascii="Calibri" w:hAnsi="Calibri"/>
      <w:color w:val="1E1E1E"/>
      <w:sz w:val="24"/>
    </w:rPr>
  </w:style>
  <w:style w:type="paragraph" w:styleId="BodyText3">
    <w:name w:val="Body Text 3"/>
    <w:basedOn w:val="Normal"/>
    <w:link w:val="BodyText3Char"/>
    <w:uiPriority w:val="99"/>
    <w:semiHidden/>
    <w:unhideWhenUsed/>
    <w:rsid w:val="003413C0"/>
    <w:pPr>
      <w:spacing w:after="120"/>
    </w:pPr>
    <w:rPr>
      <w:sz w:val="16"/>
      <w:szCs w:val="16"/>
    </w:rPr>
  </w:style>
  <w:style w:type="character" w:customStyle="1" w:styleId="BodyText3Char">
    <w:name w:val="Body Text 3 Char"/>
    <w:basedOn w:val="DefaultParagraphFont"/>
    <w:link w:val="BodyText3"/>
    <w:uiPriority w:val="99"/>
    <w:semiHidden/>
    <w:rsid w:val="003413C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413C0"/>
    <w:pPr>
      <w:ind w:firstLine="360"/>
    </w:pPr>
  </w:style>
  <w:style w:type="character" w:customStyle="1" w:styleId="BodyTextFirstIndentChar">
    <w:name w:val="Body Text First Indent Char"/>
    <w:basedOn w:val="BodyTextChar"/>
    <w:link w:val="BodyTextFirstIndent"/>
    <w:uiPriority w:val="99"/>
    <w:semiHidden/>
    <w:rsid w:val="003413C0"/>
    <w:rPr>
      <w:rFonts w:ascii="Calibri" w:hAnsi="Calibri"/>
      <w:color w:val="1E1E1E"/>
      <w:sz w:val="24"/>
    </w:rPr>
  </w:style>
  <w:style w:type="paragraph" w:styleId="BodyTextIndent">
    <w:name w:val="Body Text Indent"/>
    <w:basedOn w:val="Normal"/>
    <w:link w:val="BodyTextIndentChar"/>
    <w:uiPriority w:val="99"/>
    <w:semiHidden/>
    <w:unhideWhenUsed/>
    <w:rsid w:val="003413C0"/>
    <w:pPr>
      <w:spacing w:after="120"/>
      <w:ind w:left="283"/>
    </w:pPr>
  </w:style>
  <w:style w:type="character" w:customStyle="1" w:styleId="BodyTextIndentChar">
    <w:name w:val="Body Text Indent Char"/>
    <w:basedOn w:val="DefaultParagraphFont"/>
    <w:link w:val="BodyTextIndent"/>
    <w:uiPriority w:val="99"/>
    <w:semiHidden/>
    <w:rsid w:val="003413C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413C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413C0"/>
    <w:rPr>
      <w:rFonts w:ascii="Calibri" w:hAnsi="Calibri"/>
      <w:color w:val="1E1E1E"/>
      <w:sz w:val="24"/>
    </w:rPr>
  </w:style>
  <w:style w:type="paragraph" w:styleId="BodyTextIndent2">
    <w:name w:val="Body Text Indent 2"/>
    <w:basedOn w:val="Normal"/>
    <w:link w:val="BodyTextIndent2Char"/>
    <w:uiPriority w:val="99"/>
    <w:semiHidden/>
    <w:unhideWhenUsed/>
    <w:rsid w:val="003413C0"/>
    <w:pPr>
      <w:spacing w:after="120" w:line="480" w:lineRule="auto"/>
      <w:ind w:left="283"/>
    </w:pPr>
  </w:style>
  <w:style w:type="character" w:customStyle="1" w:styleId="BodyTextIndent2Char">
    <w:name w:val="Body Text Indent 2 Char"/>
    <w:basedOn w:val="DefaultParagraphFont"/>
    <w:link w:val="BodyTextIndent2"/>
    <w:uiPriority w:val="99"/>
    <w:semiHidden/>
    <w:rsid w:val="003413C0"/>
    <w:rPr>
      <w:rFonts w:ascii="Calibri" w:hAnsi="Calibri"/>
      <w:color w:val="1E1E1E"/>
      <w:sz w:val="24"/>
    </w:rPr>
  </w:style>
  <w:style w:type="paragraph" w:styleId="BodyTextIndent3">
    <w:name w:val="Body Text Indent 3"/>
    <w:basedOn w:val="Normal"/>
    <w:link w:val="BodyTextIndent3Char"/>
    <w:uiPriority w:val="99"/>
    <w:semiHidden/>
    <w:unhideWhenUsed/>
    <w:rsid w:val="00341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3C0"/>
    <w:rPr>
      <w:rFonts w:ascii="Calibri" w:hAnsi="Calibri"/>
      <w:color w:val="1E1E1E"/>
      <w:sz w:val="16"/>
      <w:szCs w:val="16"/>
    </w:rPr>
  </w:style>
  <w:style w:type="character" w:styleId="BookTitle">
    <w:name w:val="Book Title"/>
    <w:basedOn w:val="DefaultParagraphFont"/>
    <w:uiPriority w:val="33"/>
    <w:semiHidden/>
    <w:rsid w:val="003413C0"/>
    <w:rPr>
      <w:b/>
      <w:bCs/>
      <w:smallCaps/>
      <w:spacing w:val="5"/>
    </w:rPr>
  </w:style>
  <w:style w:type="paragraph" w:styleId="Closing">
    <w:name w:val="Closing"/>
    <w:basedOn w:val="Normal"/>
    <w:link w:val="ClosingChar"/>
    <w:uiPriority w:val="99"/>
    <w:semiHidden/>
    <w:unhideWhenUsed/>
    <w:rsid w:val="003413C0"/>
    <w:pPr>
      <w:spacing w:after="0" w:line="240" w:lineRule="auto"/>
      <w:ind w:left="4252"/>
    </w:pPr>
  </w:style>
  <w:style w:type="character" w:customStyle="1" w:styleId="ClosingChar">
    <w:name w:val="Closing Char"/>
    <w:basedOn w:val="DefaultParagraphFont"/>
    <w:link w:val="Closing"/>
    <w:uiPriority w:val="99"/>
    <w:semiHidden/>
    <w:rsid w:val="003413C0"/>
    <w:rPr>
      <w:rFonts w:ascii="Calibri" w:hAnsi="Calibri"/>
      <w:color w:val="1E1E1E"/>
      <w:sz w:val="24"/>
    </w:rPr>
  </w:style>
  <w:style w:type="table" w:customStyle="1" w:styleId="ColorfulGrid1">
    <w:name w:val="Colorful Grid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3413C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13C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3413C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3413C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3413C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3413C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3413C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13C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3413C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13C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13C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413C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13C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3413C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3413C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3413C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3413C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3413C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413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3C0"/>
    <w:rPr>
      <w:rFonts w:ascii="Tahoma" w:hAnsi="Tahoma" w:cs="Tahoma"/>
      <w:color w:val="1E1E1E"/>
      <w:sz w:val="16"/>
      <w:szCs w:val="16"/>
    </w:rPr>
  </w:style>
  <w:style w:type="character" w:styleId="HTMLAcronym">
    <w:name w:val="HTML Acronym"/>
    <w:basedOn w:val="DefaultParagraphFont"/>
    <w:uiPriority w:val="99"/>
    <w:semiHidden/>
    <w:unhideWhenUsed/>
    <w:rsid w:val="003413C0"/>
  </w:style>
  <w:style w:type="character" w:styleId="HTMLCite">
    <w:name w:val="HTML Cite"/>
    <w:basedOn w:val="DefaultParagraphFont"/>
    <w:uiPriority w:val="99"/>
    <w:semiHidden/>
    <w:unhideWhenUsed/>
    <w:rsid w:val="003413C0"/>
    <w:rPr>
      <w:i/>
      <w:iCs/>
    </w:rPr>
  </w:style>
  <w:style w:type="character" w:styleId="HTMLCode">
    <w:name w:val="HTML Code"/>
    <w:basedOn w:val="DefaultParagraphFont"/>
    <w:uiPriority w:val="99"/>
    <w:semiHidden/>
    <w:unhideWhenUsed/>
    <w:rsid w:val="003413C0"/>
    <w:rPr>
      <w:rFonts w:ascii="Consolas" w:hAnsi="Consolas" w:cs="Consolas"/>
      <w:sz w:val="20"/>
      <w:szCs w:val="20"/>
    </w:rPr>
  </w:style>
  <w:style w:type="character" w:styleId="HTMLDefinition">
    <w:name w:val="HTML Definition"/>
    <w:basedOn w:val="DefaultParagraphFont"/>
    <w:uiPriority w:val="99"/>
    <w:semiHidden/>
    <w:unhideWhenUsed/>
    <w:rsid w:val="003413C0"/>
    <w:rPr>
      <w:i/>
      <w:iCs/>
    </w:rPr>
  </w:style>
  <w:style w:type="character" w:styleId="HTMLKeyboard">
    <w:name w:val="HTML Keyboard"/>
    <w:basedOn w:val="DefaultParagraphFont"/>
    <w:uiPriority w:val="99"/>
    <w:semiHidden/>
    <w:unhideWhenUsed/>
    <w:rsid w:val="003413C0"/>
    <w:rPr>
      <w:rFonts w:ascii="Consolas" w:hAnsi="Consolas" w:cs="Consolas"/>
      <w:sz w:val="20"/>
      <w:szCs w:val="20"/>
    </w:rPr>
  </w:style>
  <w:style w:type="character" w:styleId="HTMLSample">
    <w:name w:val="HTML Sample"/>
    <w:basedOn w:val="DefaultParagraphFont"/>
    <w:uiPriority w:val="99"/>
    <w:semiHidden/>
    <w:unhideWhenUsed/>
    <w:rsid w:val="003413C0"/>
    <w:rPr>
      <w:rFonts w:ascii="Consolas" w:hAnsi="Consolas" w:cs="Consolas"/>
      <w:sz w:val="24"/>
      <w:szCs w:val="24"/>
    </w:rPr>
  </w:style>
  <w:style w:type="character" w:styleId="HTMLTypewriter">
    <w:name w:val="HTML Typewriter"/>
    <w:basedOn w:val="DefaultParagraphFont"/>
    <w:uiPriority w:val="99"/>
    <w:semiHidden/>
    <w:unhideWhenUsed/>
    <w:rsid w:val="003413C0"/>
    <w:rPr>
      <w:rFonts w:ascii="Consolas" w:hAnsi="Consolas" w:cs="Consolas"/>
      <w:sz w:val="20"/>
      <w:szCs w:val="20"/>
    </w:rPr>
  </w:style>
  <w:style w:type="character" w:styleId="HTMLVariable">
    <w:name w:val="HTML Variable"/>
    <w:basedOn w:val="DefaultParagraphFont"/>
    <w:uiPriority w:val="99"/>
    <w:semiHidden/>
    <w:unhideWhenUsed/>
    <w:rsid w:val="003413C0"/>
    <w:rPr>
      <w:i/>
      <w:iCs/>
    </w:rPr>
  </w:style>
  <w:style w:type="character" w:styleId="IntenseEmphasis">
    <w:name w:val="Intense Emphasis"/>
    <w:basedOn w:val="DefaultParagraphFont"/>
    <w:uiPriority w:val="21"/>
    <w:semiHidden/>
    <w:rsid w:val="003413C0"/>
    <w:rPr>
      <w:b/>
      <w:bCs/>
      <w:i/>
      <w:iCs/>
      <w:color w:val="2BB673" w:themeColor="accent1"/>
    </w:rPr>
  </w:style>
  <w:style w:type="paragraph" w:styleId="IntenseQuote">
    <w:name w:val="Intense Quote"/>
    <w:basedOn w:val="Normal"/>
    <w:next w:val="Normal"/>
    <w:link w:val="IntenseQuoteChar"/>
    <w:uiPriority w:val="30"/>
    <w:semiHidden/>
    <w:rsid w:val="003413C0"/>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3413C0"/>
    <w:rPr>
      <w:rFonts w:ascii="Calibri" w:hAnsi="Calibri"/>
      <w:b/>
      <w:bCs/>
      <w:i/>
      <w:iCs/>
      <w:color w:val="2BB673" w:themeColor="accent1"/>
      <w:sz w:val="24"/>
    </w:rPr>
  </w:style>
  <w:style w:type="character" w:styleId="IntenseReference">
    <w:name w:val="Intense Reference"/>
    <w:basedOn w:val="DefaultParagraphFont"/>
    <w:uiPriority w:val="32"/>
    <w:semiHidden/>
    <w:rsid w:val="003413C0"/>
    <w:rPr>
      <w:b/>
      <w:bCs/>
      <w:smallCaps/>
      <w:color w:val="93B41A" w:themeColor="accent2"/>
      <w:spacing w:val="5"/>
      <w:u w:val="single"/>
    </w:rPr>
  </w:style>
  <w:style w:type="table" w:customStyle="1" w:styleId="LightGrid1">
    <w:name w:val="Light Grid1"/>
    <w:basedOn w:val="TableNormal"/>
    <w:uiPriority w:val="62"/>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3413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413C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3413C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3413C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3413C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3413C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3413C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413C0"/>
  </w:style>
  <w:style w:type="paragraph" w:styleId="List">
    <w:name w:val="List"/>
    <w:basedOn w:val="Normal"/>
    <w:uiPriority w:val="99"/>
    <w:semiHidden/>
    <w:unhideWhenUsed/>
    <w:rsid w:val="003413C0"/>
    <w:pPr>
      <w:ind w:left="283" w:hanging="283"/>
      <w:contextualSpacing/>
    </w:pPr>
  </w:style>
  <w:style w:type="paragraph" w:styleId="List2">
    <w:name w:val="List 2"/>
    <w:basedOn w:val="Normal"/>
    <w:uiPriority w:val="99"/>
    <w:semiHidden/>
    <w:unhideWhenUsed/>
    <w:rsid w:val="003413C0"/>
    <w:pPr>
      <w:ind w:left="566" w:hanging="283"/>
      <w:contextualSpacing/>
    </w:pPr>
  </w:style>
  <w:style w:type="paragraph" w:styleId="List3">
    <w:name w:val="List 3"/>
    <w:basedOn w:val="Normal"/>
    <w:uiPriority w:val="99"/>
    <w:semiHidden/>
    <w:unhideWhenUsed/>
    <w:rsid w:val="003413C0"/>
    <w:pPr>
      <w:ind w:left="849" w:hanging="283"/>
      <w:contextualSpacing/>
    </w:pPr>
  </w:style>
  <w:style w:type="paragraph" w:styleId="List4">
    <w:name w:val="List 4"/>
    <w:basedOn w:val="Normal"/>
    <w:uiPriority w:val="99"/>
    <w:semiHidden/>
    <w:unhideWhenUsed/>
    <w:rsid w:val="003413C0"/>
    <w:pPr>
      <w:ind w:left="1132" w:hanging="283"/>
      <w:contextualSpacing/>
    </w:pPr>
  </w:style>
  <w:style w:type="paragraph" w:styleId="List5">
    <w:name w:val="List 5"/>
    <w:basedOn w:val="Normal"/>
    <w:uiPriority w:val="99"/>
    <w:semiHidden/>
    <w:unhideWhenUsed/>
    <w:rsid w:val="003413C0"/>
    <w:pPr>
      <w:ind w:left="1415" w:hanging="283"/>
      <w:contextualSpacing/>
    </w:pPr>
  </w:style>
  <w:style w:type="paragraph" w:styleId="ListBullet5">
    <w:name w:val="List Bullet 5"/>
    <w:basedOn w:val="Normal"/>
    <w:uiPriority w:val="99"/>
    <w:semiHidden/>
    <w:rsid w:val="003413C0"/>
    <w:pPr>
      <w:numPr>
        <w:numId w:val="1"/>
      </w:numPr>
      <w:contextualSpacing/>
    </w:pPr>
  </w:style>
  <w:style w:type="paragraph" w:styleId="ListNumber4">
    <w:name w:val="List Number 4"/>
    <w:basedOn w:val="Normal"/>
    <w:uiPriority w:val="99"/>
    <w:semiHidden/>
    <w:unhideWhenUsed/>
    <w:rsid w:val="003413C0"/>
    <w:pPr>
      <w:numPr>
        <w:numId w:val="2"/>
      </w:numPr>
      <w:contextualSpacing/>
    </w:pPr>
  </w:style>
  <w:style w:type="paragraph" w:styleId="ListNumber5">
    <w:name w:val="List Number 5"/>
    <w:basedOn w:val="Normal"/>
    <w:uiPriority w:val="99"/>
    <w:semiHidden/>
    <w:rsid w:val="003413C0"/>
    <w:pPr>
      <w:numPr>
        <w:numId w:val="3"/>
      </w:numPr>
      <w:contextualSpacing/>
    </w:pPr>
  </w:style>
  <w:style w:type="paragraph" w:styleId="ListParagraph">
    <w:name w:val="List Paragraph"/>
    <w:basedOn w:val="Normal"/>
    <w:uiPriority w:val="34"/>
    <w:semiHidden/>
    <w:qFormat/>
    <w:rsid w:val="003413C0"/>
    <w:pPr>
      <w:ind w:left="720"/>
      <w:contextualSpacing/>
    </w:pPr>
  </w:style>
  <w:style w:type="paragraph" w:styleId="MacroText">
    <w:name w:val="macro"/>
    <w:link w:val="MacroTextChar"/>
    <w:uiPriority w:val="99"/>
    <w:semiHidden/>
    <w:unhideWhenUsed/>
    <w:rsid w:val="003413C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3413C0"/>
    <w:rPr>
      <w:rFonts w:ascii="Consolas" w:hAnsi="Consolas" w:cs="Consolas"/>
      <w:color w:val="1E1E1E"/>
      <w:sz w:val="20"/>
      <w:szCs w:val="20"/>
    </w:rPr>
  </w:style>
  <w:style w:type="table" w:customStyle="1" w:styleId="MediumGrid11">
    <w:name w:val="Medium Grid 11"/>
    <w:basedOn w:val="TableNormal"/>
    <w:uiPriority w:val="67"/>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3413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413C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3413C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3413C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3413C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3413C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3413C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413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13C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413C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413C0"/>
    <w:pPr>
      <w:ind w:left="720"/>
    </w:pPr>
  </w:style>
  <w:style w:type="paragraph" w:styleId="NoteHeading">
    <w:name w:val="Note Heading"/>
    <w:basedOn w:val="Normal"/>
    <w:next w:val="Normal"/>
    <w:link w:val="NoteHeadingChar"/>
    <w:uiPriority w:val="99"/>
    <w:semiHidden/>
    <w:unhideWhenUsed/>
    <w:rsid w:val="003413C0"/>
    <w:pPr>
      <w:spacing w:after="0" w:line="240" w:lineRule="auto"/>
    </w:pPr>
  </w:style>
  <w:style w:type="character" w:customStyle="1" w:styleId="NoteHeadingChar">
    <w:name w:val="Note Heading Char"/>
    <w:basedOn w:val="DefaultParagraphFont"/>
    <w:link w:val="NoteHeading"/>
    <w:uiPriority w:val="99"/>
    <w:semiHidden/>
    <w:rsid w:val="003413C0"/>
    <w:rPr>
      <w:rFonts w:ascii="Calibri" w:hAnsi="Calibri"/>
      <w:color w:val="1E1E1E"/>
      <w:sz w:val="24"/>
    </w:rPr>
  </w:style>
  <w:style w:type="character" w:styleId="PlaceholderText">
    <w:name w:val="Placeholder Text"/>
    <w:basedOn w:val="DefaultParagraphFont"/>
    <w:uiPriority w:val="99"/>
    <w:semiHidden/>
    <w:rsid w:val="003413C0"/>
    <w:rPr>
      <w:color w:val="808080"/>
    </w:rPr>
  </w:style>
  <w:style w:type="paragraph" w:styleId="PlainText">
    <w:name w:val="Plain Text"/>
    <w:basedOn w:val="Normal"/>
    <w:link w:val="PlainTextChar"/>
    <w:uiPriority w:val="99"/>
    <w:semiHidden/>
    <w:unhideWhenUsed/>
    <w:rsid w:val="003413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13C0"/>
    <w:rPr>
      <w:rFonts w:ascii="Consolas" w:hAnsi="Consolas" w:cs="Consolas"/>
      <w:color w:val="1E1E1E"/>
      <w:sz w:val="21"/>
      <w:szCs w:val="21"/>
    </w:rPr>
  </w:style>
  <w:style w:type="paragraph" w:styleId="Quote">
    <w:name w:val="Quote"/>
    <w:basedOn w:val="Normal"/>
    <w:next w:val="Normal"/>
    <w:link w:val="QuoteChar"/>
    <w:uiPriority w:val="29"/>
    <w:semiHidden/>
    <w:qFormat/>
    <w:rsid w:val="003413C0"/>
    <w:rPr>
      <w:i/>
      <w:iCs/>
      <w:color w:val="000000" w:themeColor="text1"/>
    </w:rPr>
  </w:style>
  <w:style w:type="character" w:customStyle="1" w:styleId="QuoteChar">
    <w:name w:val="Quote Char"/>
    <w:basedOn w:val="DefaultParagraphFont"/>
    <w:link w:val="Quote"/>
    <w:uiPriority w:val="29"/>
    <w:semiHidden/>
    <w:rsid w:val="003413C0"/>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3413C0"/>
  </w:style>
  <w:style w:type="character" w:customStyle="1" w:styleId="SalutationChar">
    <w:name w:val="Salutation Char"/>
    <w:basedOn w:val="DefaultParagraphFont"/>
    <w:link w:val="Salutation"/>
    <w:uiPriority w:val="99"/>
    <w:semiHidden/>
    <w:rsid w:val="003413C0"/>
    <w:rPr>
      <w:rFonts w:ascii="Calibri" w:hAnsi="Calibri"/>
      <w:color w:val="1E1E1E"/>
      <w:sz w:val="24"/>
    </w:rPr>
  </w:style>
  <w:style w:type="paragraph" w:styleId="Signature">
    <w:name w:val="Signature"/>
    <w:basedOn w:val="Normal"/>
    <w:link w:val="SignatureChar"/>
    <w:uiPriority w:val="99"/>
    <w:semiHidden/>
    <w:unhideWhenUsed/>
    <w:rsid w:val="003413C0"/>
    <w:pPr>
      <w:spacing w:after="0" w:line="240" w:lineRule="auto"/>
      <w:ind w:left="4252"/>
    </w:pPr>
  </w:style>
  <w:style w:type="character" w:customStyle="1" w:styleId="SignatureChar">
    <w:name w:val="Signature Char"/>
    <w:basedOn w:val="DefaultParagraphFont"/>
    <w:link w:val="Signature"/>
    <w:uiPriority w:val="99"/>
    <w:semiHidden/>
    <w:rsid w:val="003413C0"/>
    <w:rPr>
      <w:rFonts w:ascii="Calibri" w:hAnsi="Calibri"/>
      <w:color w:val="1E1E1E"/>
      <w:sz w:val="24"/>
    </w:rPr>
  </w:style>
  <w:style w:type="character" w:styleId="Strong">
    <w:name w:val="Strong"/>
    <w:basedOn w:val="DefaultParagraphFont"/>
    <w:uiPriority w:val="22"/>
    <w:semiHidden/>
    <w:qFormat/>
    <w:rsid w:val="003413C0"/>
    <w:rPr>
      <w:b/>
      <w:bCs/>
    </w:rPr>
  </w:style>
  <w:style w:type="paragraph" w:styleId="Subtitle">
    <w:name w:val="Subtitle"/>
    <w:basedOn w:val="Normal"/>
    <w:next w:val="Normal"/>
    <w:link w:val="SubtitleChar"/>
    <w:uiPriority w:val="11"/>
    <w:semiHidden/>
    <w:qFormat/>
    <w:rsid w:val="003413C0"/>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3413C0"/>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3413C0"/>
    <w:rPr>
      <w:i/>
      <w:iCs/>
      <w:color w:val="808080" w:themeColor="text1" w:themeTint="7F"/>
    </w:rPr>
  </w:style>
  <w:style w:type="character" w:styleId="SubtleReference">
    <w:name w:val="Subtle Reference"/>
    <w:basedOn w:val="DefaultParagraphFont"/>
    <w:uiPriority w:val="31"/>
    <w:semiHidden/>
    <w:rsid w:val="003413C0"/>
    <w:rPr>
      <w:smallCaps/>
      <w:color w:val="93B41A" w:themeColor="accent2"/>
      <w:u w:val="single"/>
    </w:rPr>
  </w:style>
  <w:style w:type="table" w:styleId="Table3Deffects1">
    <w:name w:val="Table 3D effects 1"/>
    <w:basedOn w:val="TableNormal"/>
    <w:uiPriority w:val="99"/>
    <w:semiHidden/>
    <w:unhideWhenUsed/>
    <w:rsid w:val="003413C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13C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13C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13C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13C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13C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13C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13C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13C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13C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13C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13C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13C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13C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13C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13C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13C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13C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13C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13C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413C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13C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13C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13C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13C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13C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13C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13C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13C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13C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13C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13C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A60734"/>
    <w:pPr>
      <w:numPr>
        <w:numId w:val="11"/>
      </w:numPr>
    </w:pPr>
  </w:style>
  <w:style w:type="paragraph" w:customStyle="1" w:styleId="Boxsmallbullet2">
    <w:name w:val="Box small bullet 2"/>
    <w:basedOn w:val="Normal"/>
    <w:uiPriority w:val="2"/>
    <w:rsid w:val="00A60734"/>
    <w:pPr>
      <w:numPr>
        <w:ilvl w:val="1"/>
        <w:numId w:val="11"/>
      </w:numPr>
    </w:pPr>
  </w:style>
  <w:style w:type="paragraph" w:customStyle="1" w:styleId="Boxsmallnumber-1">
    <w:name w:val="Box small number - 1."/>
    <w:basedOn w:val="Normal"/>
    <w:uiPriority w:val="2"/>
    <w:rsid w:val="00A60734"/>
    <w:pPr>
      <w:numPr>
        <w:numId w:val="12"/>
      </w:numPr>
    </w:pPr>
  </w:style>
  <w:style w:type="paragraph" w:customStyle="1" w:styleId="Boxsmallnumber-a">
    <w:name w:val="Box small number - a."/>
    <w:basedOn w:val="Normal"/>
    <w:uiPriority w:val="2"/>
    <w:rsid w:val="00A60734"/>
    <w:pPr>
      <w:numPr>
        <w:ilvl w:val="1"/>
        <w:numId w:val="12"/>
      </w:numPr>
    </w:pPr>
  </w:style>
  <w:style w:type="paragraph" w:customStyle="1" w:styleId="Boxsmallnumber-i">
    <w:name w:val="Box small number - i."/>
    <w:basedOn w:val="Normal"/>
    <w:uiPriority w:val="2"/>
    <w:rsid w:val="00A60734"/>
    <w:pPr>
      <w:numPr>
        <w:ilvl w:val="2"/>
        <w:numId w:val="12"/>
      </w:numPr>
    </w:pPr>
  </w:style>
  <w:style w:type="paragraph" w:customStyle="1" w:styleId="Checkbox1">
    <w:name w:val="Check box 1"/>
    <w:basedOn w:val="BodyText"/>
    <w:uiPriority w:val="3"/>
    <w:rsid w:val="00A60734"/>
    <w:pPr>
      <w:numPr>
        <w:numId w:val="14"/>
      </w:numPr>
    </w:pPr>
  </w:style>
  <w:style w:type="paragraph" w:customStyle="1" w:styleId="Checkbox2">
    <w:name w:val="Check box 2"/>
    <w:basedOn w:val="Checkbox1"/>
    <w:uiPriority w:val="3"/>
    <w:rsid w:val="00A60734"/>
    <w:pPr>
      <w:numPr>
        <w:ilvl w:val="1"/>
      </w:numPr>
    </w:pPr>
  </w:style>
  <w:style w:type="paragraph" w:customStyle="1" w:styleId="Checkbox3">
    <w:name w:val="Check box 3"/>
    <w:basedOn w:val="Checkbox1"/>
    <w:uiPriority w:val="3"/>
    <w:rsid w:val="00A60734"/>
    <w:pPr>
      <w:numPr>
        <w:ilvl w:val="2"/>
      </w:numPr>
    </w:pPr>
  </w:style>
  <w:style w:type="paragraph" w:customStyle="1" w:styleId="Checkbox4">
    <w:name w:val="Check box 4"/>
    <w:basedOn w:val="Checkbox1"/>
    <w:uiPriority w:val="3"/>
    <w:rsid w:val="00A60734"/>
    <w:pPr>
      <w:numPr>
        <w:ilvl w:val="3"/>
      </w:numPr>
    </w:pPr>
  </w:style>
  <w:style w:type="paragraph" w:customStyle="1" w:styleId="FootnoteBullet">
    <w:name w:val="Footnote Bullet"/>
    <w:basedOn w:val="FootnoteText"/>
    <w:uiPriority w:val="7"/>
    <w:rsid w:val="00FD0F5E"/>
    <w:pPr>
      <w:numPr>
        <w:numId w:val="30"/>
      </w:numPr>
      <w:tabs>
        <w:tab w:val="clear" w:pos="284"/>
      </w:tabs>
    </w:pPr>
  </w:style>
  <w:style w:type="paragraph" w:customStyle="1" w:styleId="Introduction">
    <w:name w:val="Introduction"/>
    <w:basedOn w:val="Normal"/>
    <w:uiPriority w:val="2"/>
    <w:rsid w:val="00A60734"/>
    <w:rPr>
      <w:color w:val="4D4D4D"/>
      <w:sz w:val="28"/>
    </w:rPr>
  </w:style>
  <w:style w:type="paragraph" w:customStyle="1" w:styleId="Tablecheckbox1">
    <w:name w:val="Table check box 1"/>
    <w:basedOn w:val="Normal"/>
    <w:uiPriority w:val="2"/>
    <w:rsid w:val="00A60734"/>
    <w:pPr>
      <w:numPr>
        <w:numId w:val="25"/>
      </w:numPr>
      <w:spacing w:before="120" w:after="120"/>
    </w:pPr>
    <w:rPr>
      <w:sz w:val="22"/>
    </w:rPr>
  </w:style>
  <w:style w:type="paragraph" w:customStyle="1" w:styleId="Tablecheckbox2">
    <w:name w:val="Table check box 2"/>
    <w:basedOn w:val="Tablecheckbox1"/>
    <w:uiPriority w:val="2"/>
    <w:rsid w:val="00A60734"/>
    <w:pPr>
      <w:numPr>
        <w:ilvl w:val="1"/>
      </w:numPr>
    </w:pPr>
  </w:style>
  <w:style w:type="paragraph" w:customStyle="1" w:styleId="Tablecheckbox3">
    <w:name w:val="Table check box 3"/>
    <w:basedOn w:val="Tablecheckbox1"/>
    <w:uiPriority w:val="2"/>
    <w:rsid w:val="00A60734"/>
    <w:pPr>
      <w:numPr>
        <w:ilvl w:val="2"/>
      </w:numPr>
    </w:pPr>
  </w:style>
  <w:style w:type="paragraph" w:customStyle="1" w:styleId="EndnoteBullet">
    <w:name w:val="Endnote Bullet"/>
    <w:uiPriority w:val="7"/>
    <w:rsid w:val="00FD0A74"/>
    <w:pPr>
      <w:numPr>
        <w:numId w:val="2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60734"/>
    <w:pPr>
      <w:ind w:left="2268" w:right="567"/>
    </w:pPr>
    <w:rPr>
      <w:i/>
      <w:color w:val="4D4D4D"/>
    </w:rPr>
  </w:style>
  <w:style w:type="paragraph" w:customStyle="1" w:styleId="CQLegindent2">
    <w:name w:val="CQLeg indent 2"/>
    <w:basedOn w:val="Normal"/>
    <w:uiPriority w:val="6"/>
    <w:rsid w:val="00A60734"/>
    <w:pPr>
      <w:ind w:left="2977" w:right="567"/>
    </w:pPr>
    <w:rPr>
      <w:i/>
      <w:color w:val="4D4D4D"/>
    </w:rPr>
  </w:style>
  <w:style w:type="paragraph" w:customStyle="1" w:styleId="CQLegindent3">
    <w:name w:val="CQLeg indent 3"/>
    <w:basedOn w:val="Normal"/>
    <w:uiPriority w:val="6"/>
    <w:rsid w:val="00A60734"/>
    <w:pPr>
      <w:ind w:left="3686" w:right="567"/>
    </w:pPr>
    <w:rPr>
      <w:i/>
      <w:color w:val="4D4D4D"/>
    </w:rPr>
  </w:style>
  <w:style w:type="paragraph" w:customStyle="1" w:styleId="CQLegstyle-1">
    <w:name w:val="CQLeg style - (1)"/>
    <w:basedOn w:val="Normal"/>
    <w:uiPriority w:val="6"/>
    <w:rsid w:val="00A60734"/>
    <w:pPr>
      <w:tabs>
        <w:tab w:val="left" w:pos="2268"/>
      </w:tabs>
      <w:ind w:left="2269" w:right="567" w:hanging="851"/>
    </w:pPr>
    <w:rPr>
      <w:i/>
      <w:color w:val="4D4D4D"/>
    </w:rPr>
  </w:style>
  <w:style w:type="paragraph" w:customStyle="1" w:styleId="CQLegstyle-a">
    <w:name w:val="CQLeg style - (a)"/>
    <w:basedOn w:val="Normal"/>
    <w:uiPriority w:val="6"/>
    <w:rsid w:val="00A60734"/>
    <w:pPr>
      <w:tabs>
        <w:tab w:val="left" w:pos="2977"/>
      </w:tabs>
      <w:ind w:left="2977" w:right="567" w:hanging="709"/>
    </w:pPr>
    <w:rPr>
      <w:i/>
      <w:color w:val="4D4D4D"/>
    </w:rPr>
  </w:style>
  <w:style w:type="paragraph" w:customStyle="1" w:styleId="CQLegstyle-i">
    <w:name w:val="CQLeg style - (i)"/>
    <w:basedOn w:val="Normal"/>
    <w:uiPriority w:val="6"/>
    <w:rsid w:val="00A60734"/>
    <w:pPr>
      <w:tabs>
        <w:tab w:val="left" w:pos="3686"/>
      </w:tabs>
      <w:ind w:left="3686" w:right="567" w:hanging="709"/>
    </w:pPr>
    <w:rPr>
      <w:i/>
      <w:color w:val="4D4D4D"/>
    </w:rPr>
  </w:style>
  <w:style w:type="paragraph" w:customStyle="1" w:styleId="CQLegstyle-10">
    <w:name w:val="CQLeg style - 1"/>
    <w:basedOn w:val="Normal"/>
    <w:uiPriority w:val="6"/>
    <w:rsid w:val="00EC6036"/>
    <w:pPr>
      <w:keepNext/>
      <w:tabs>
        <w:tab w:val="left" w:pos="2268"/>
      </w:tabs>
      <w:ind w:left="2269" w:right="567" w:hanging="851"/>
    </w:pPr>
    <w:rPr>
      <w:b/>
      <w:i/>
      <w:color w:val="4D4D4D"/>
    </w:rPr>
  </w:style>
  <w:style w:type="paragraph" w:customStyle="1" w:styleId="Footerletter">
    <w:name w:val="Footer letter"/>
    <w:basedOn w:val="Footer"/>
    <w:uiPriority w:val="10"/>
    <w:qFormat/>
    <w:rsid w:val="00D93F7D"/>
    <w:pPr>
      <w:tabs>
        <w:tab w:val="right" w:pos="9526"/>
      </w:tabs>
    </w:pPr>
  </w:style>
  <w:style w:type="character" w:customStyle="1" w:styleId="HyperlinkSourceTextReference">
    <w:name w:val="Hyperlink (Source Text Reference)"/>
    <w:basedOn w:val="Hyperlink"/>
    <w:uiPriority w:val="2"/>
    <w:rsid w:val="00366821"/>
    <w:rPr>
      <w:color w:val="0D6AB8"/>
      <w:u w:val="single"/>
    </w:rPr>
  </w:style>
  <w:style w:type="paragraph" w:customStyle="1" w:styleId="ALegindent1">
    <w:name w:val="ALeg indent 1"/>
    <w:basedOn w:val="Normal"/>
    <w:uiPriority w:val="6"/>
    <w:rsid w:val="00A60734"/>
    <w:pPr>
      <w:ind w:left="851"/>
    </w:pPr>
  </w:style>
  <w:style w:type="paragraph" w:customStyle="1" w:styleId="ALegindent2">
    <w:name w:val="ALeg indent 2"/>
    <w:basedOn w:val="Normal"/>
    <w:uiPriority w:val="6"/>
    <w:rsid w:val="00A60734"/>
    <w:pPr>
      <w:ind w:left="1559"/>
    </w:pPr>
  </w:style>
  <w:style w:type="paragraph" w:customStyle="1" w:styleId="ALegindent3">
    <w:name w:val="ALeg indent 3"/>
    <w:basedOn w:val="Normal"/>
    <w:uiPriority w:val="6"/>
    <w:rsid w:val="00A60734"/>
    <w:pPr>
      <w:ind w:left="2268"/>
    </w:pPr>
  </w:style>
  <w:style w:type="paragraph" w:customStyle="1" w:styleId="ALegstyle-1">
    <w:name w:val="ALeg style - (1)"/>
    <w:basedOn w:val="Normal"/>
    <w:uiPriority w:val="6"/>
    <w:rsid w:val="00A60734"/>
    <w:pPr>
      <w:tabs>
        <w:tab w:val="left" w:pos="851"/>
      </w:tabs>
      <w:ind w:left="851" w:hanging="851"/>
    </w:pPr>
  </w:style>
  <w:style w:type="paragraph" w:customStyle="1" w:styleId="ALegstyle-a">
    <w:name w:val="ALeg style - (a)"/>
    <w:basedOn w:val="Normal"/>
    <w:uiPriority w:val="6"/>
    <w:rsid w:val="00A60734"/>
    <w:pPr>
      <w:tabs>
        <w:tab w:val="left" w:pos="1559"/>
      </w:tabs>
      <w:ind w:left="1560" w:hanging="709"/>
    </w:pPr>
  </w:style>
  <w:style w:type="paragraph" w:customStyle="1" w:styleId="ALegstyle-i">
    <w:name w:val="ALeg style - (i)"/>
    <w:basedOn w:val="Normal"/>
    <w:uiPriority w:val="6"/>
    <w:rsid w:val="00A60734"/>
    <w:pPr>
      <w:tabs>
        <w:tab w:val="left" w:pos="2268"/>
      </w:tabs>
      <w:ind w:left="2268" w:hanging="709"/>
    </w:pPr>
  </w:style>
  <w:style w:type="paragraph" w:customStyle="1" w:styleId="ALegstyle-10">
    <w:name w:val="ALeg style - 1"/>
    <w:basedOn w:val="Normal"/>
    <w:uiPriority w:val="6"/>
    <w:rsid w:val="00EC6036"/>
    <w:pPr>
      <w:keepNext/>
      <w:tabs>
        <w:tab w:val="left" w:pos="851"/>
      </w:tabs>
      <w:ind w:left="851" w:hanging="851"/>
    </w:pPr>
    <w:rPr>
      <w:b/>
    </w:rPr>
  </w:style>
  <w:style w:type="paragraph" w:customStyle="1" w:styleId="BQLegindent1">
    <w:name w:val="BQLeg indent 1"/>
    <w:basedOn w:val="Normal"/>
    <w:uiPriority w:val="6"/>
    <w:rsid w:val="00B75E1B"/>
    <w:pPr>
      <w:ind w:left="1418" w:right="567"/>
    </w:pPr>
    <w:rPr>
      <w:i/>
      <w:color w:val="4D4D4D"/>
    </w:rPr>
  </w:style>
  <w:style w:type="paragraph" w:customStyle="1" w:styleId="BQLegindent2">
    <w:name w:val="BQLeg indent 2"/>
    <w:basedOn w:val="Normal"/>
    <w:uiPriority w:val="6"/>
    <w:rsid w:val="00B75E1B"/>
    <w:pPr>
      <w:ind w:left="2126" w:right="567"/>
    </w:pPr>
    <w:rPr>
      <w:i/>
      <w:color w:val="4D4D4D"/>
    </w:rPr>
  </w:style>
  <w:style w:type="paragraph" w:customStyle="1" w:styleId="BQLegindent3">
    <w:name w:val="BQLeg indent 3"/>
    <w:basedOn w:val="Normal"/>
    <w:uiPriority w:val="6"/>
    <w:rsid w:val="00B75E1B"/>
    <w:pPr>
      <w:ind w:left="2835" w:right="567"/>
    </w:pPr>
    <w:rPr>
      <w:i/>
      <w:color w:val="4D4D4D"/>
    </w:rPr>
  </w:style>
  <w:style w:type="paragraph" w:customStyle="1" w:styleId="BQLegstyle-1">
    <w:name w:val="BQLeg style - (1)"/>
    <w:basedOn w:val="Normal"/>
    <w:uiPriority w:val="6"/>
    <w:rsid w:val="00B75E1B"/>
    <w:pPr>
      <w:tabs>
        <w:tab w:val="left" w:pos="1418"/>
      </w:tabs>
      <w:ind w:left="1418" w:right="567" w:hanging="851"/>
    </w:pPr>
    <w:rPr>
      <w:i/>
      <w:color w:val="4D4D4D"/>
    </w:rPr>
  </w:style>
  <w:style w:type="paragraph" w:customStyle="1" w:styleId="BQLegstyle-a">
    <w:name w:val="BQLeg style - (a)"/>
    <w:basedOn w:val="Normal"/>
    <w:uiPriority w:val="6"/>
    <w:rsid w:val="00B75E1B"/>
    <w:pPr>
      <w:tabs>
        <w:tab w:val="left" w:pos="2126"/>
      </w:tabs>
      <w:ind w:left="2127" w:right="567" w:hanging="709"/>
    </w:pPr>
    <w:rPr>
      <w:i/>
      <w:color w:val="4D4D4D"/>
    </w:rPr>
  </w:style>
  <w:style w:type="paragraph" w:customStyle="1" w:styleId="BQLegstyle-i">
    <w:name w:val="BQLeg style - (i)"/>
    <w:basedOn w:val="Normal"/>
    <w:uiPriority w:val="6"/>
    <w:rsid w:val="00B75E1B"/>
    <w:pPr>
      <w:tabs>
        <w:tab w:val="left" w:pos="2835"/>
      </w:tabs>
      <w:ind w:left="2835" w:right="567" w:hanging="709"/>
    </w:pPr>
    <w:rPr>
      <w:i/>
      <w:color w:val="4D4D4D"/>
    </w:rPr>
  </w:style>
  <w:style w:type="paragraph" w:customStyle="1" w:styleId="BQLegstyle-10">
    <w:name w:val="BQLeg style - 1"/>
    <w:basedOn w:val="Normal"/>
    <w:uiPriority w:val="6"/>
    <w:rsid w:val="00B75E1B"/>
    <w:pPr>
      <w:keepNext/>
      <w:tabs>
        <w:tab w:val="left" w:pos="1418"/>
      </w:tabs>
      <w:ind w:left="1418" w:right="567" w:hanging="851"/>
    </w:pPr>
    <w:rPr>
      <w:b/>
      <w:i/>
      <w:color w:val="4D4D4D"/>
    </w:rPr>
  </w:style>
  <w:style w:type="paragraph" w:customStyle="1" w:styleId="SQLegindent1">
    <w:name w:val="SQLeg indent 1"/>
    <w:basedOn w:val="Normal"/>
    <w:uiPriority w:val="6"/>
    <w:rsid w:val="00A60734"/>
    <w:pPr>
      <w:ind w:left="1985" w:right="567"/>
    </w:pPr>
    <w:rPr>
      <w:i/>
      <w:color w:val="4D4D4D"/>
    </w:rPr>
  </w:style>
  <w:style w:type="paragraph" w:customStyle="1" w:styleId="SQLegindent2">
    <w:name w:val="SQLeg indent 2"/>
    <w:basedOn w:val="Normal"/>
    <w:uiPriority w:val="6"/>
    <w:rsid w:val="00A60734"/>
    <w:pPr>
      <w:ind w:left="2693" w:right="567"/>
    </w:pPr>
    <w:rPr>
      <w:i/>
      <w:color w:val="4D4D4D"/>
    </w:rPr>
  </w:style>
  <w:style w:type="paragraph" w:customStyle="1" w:styleId="SQLegindent3">
    <w:name w:val="SQLeg indent 3"/>
    <w:basedOn w:val="Normal"/>
    <w:uiPriority w:val="6"/>
    <w:rsid w:val="00A60734"/>
    <w:pPr>
      <w:ind w:left="3402" w:right="567"/>
    </w:pPr>
    <w:rPr>
      <w:i/>
      <w:color w:val="4D4D4D"/>
    </w:rPr>
  </w:style>
  <w:style w:type="paragraph" w:customStyle="1" w:styleId="SQLegstyle-1">
    <w:name w:val="SQLeg style - (1)"/>
    <w:basedOn w:val="Normal"/>
    <w:uiPriority w:val="6"/>
    <w:rsid w:val="00A60734"/>
    <w:pPr>
      <w:tabs>
        <w:tab w:val="left" w:pos="1985"/>
      </w:tabs>
      <w:ind w:left="1985" w:right="567" w:hanging="851"/>
    </w:pPr>
    <w:rPr>
      <w:i/>
      <w:color w:val="4D4D4D"/>
    </w:rPr>
  </w:style>
  <w:style w:type="paragraph" w:customStyle="1" w:styleId="SQLegstyle-a">
    <w:name w:val="SQLeg style - (a)"/>
    <w:basedOn w:val="Normal"/>
    <w:uiPriority w:val="6"/>
    <w:rsid w:val="00A60734"/>
    <w:pPr>
      <w:tabs>
        <w:tab w:val="left" w:pos="2693"/>
      </w:tabs>
      <w:ind w:left="2694" w:right="567" w:hanging="709"/>
    </w:pPr>
    <w:rPr>
      <w:i/>
      <w:color w:val="4D4D4D"/>
    </w:rPr>
  </w:style>
  <w:style w:type="paragraph" w:customStyle="1" w:styleId="SQLegstyle-i">
    <w:name w:val="SQLeg style - (i)"/>
    <w:basedOn w:val="Normal"/>
    <w:uiPriority w:val="6"/>
    <w:rsid w:val="00A60734"/>
    <w:pPr>
      <w:tabs>
        <w:tab w:val="left" w:pos="3402"/>
      </w:tabs>
      <w:ind w:left="3402" w:right="567" w:hanging="709"/>
    </w:pPr>
    <w:rPr>
      <w:i/>
      <w:color w:val="4D4D4D"/>
    </w:rPr>
  </w:style>
  <w:style w:type="paragraph" w:customStyle="1" w:styleId="SQLegstyle-10">
    <w:name w:val="SQLeg style - 1"/>
    <w:basedOn w:val="Normal"/>
    <w:uiPriority w:val="6"/>
    <w:rsid w:val="00EC6036"/>
    <w:pPr>
      <w:keepNext/>
      <w:tabs>
        <w:tab w:val="left" w:pos="1985"/>
      </w:tabs>
      <w:ind w:left="1985" w:right="567" w:hanging="851"/>
    </w:pPr>
    <w:rPr>
      <w:b/>
      <w:i/>
      <w:color w:val="4D4D4D"/>
    </w:rPr>
  </w:style>
  <w:style w:type="paragraph" w:customStyle="1" w:styleId="Headerletter">
    <w:name w:val="Header letter"/>
    <w:basedOn w:val="Header"/>
    <w:rsid w:val="00366821"/>
  </w:style>
  <w:style w:type="paragraph" w:customStyle="1" w:styleId="Tableoffiguresheading">
    <w:name w:val="Table of figures heading"/>
    <w:basedOn w:val="Heading4"/>
    <w:next w:val="TableofFigures"/>
    <w:uiPriority w:val="1"/>
    <w:rsid w:val="00A60734"/>
    <w:pPr>
      <w:outlineLvl w:val="9"/>
    </w:pPr>
  </w:style>
  <w:style w:type="paragraph" w:customStyle="1" w:styleId="Pictureindent">
    <w:name w:val="Picture indent"/>
    <w:basedOn w:val="Indent1"/>
    <w:uiPriority w:val="2"/>
    <w:rsid w:val="00A60734"/>
    <w:pPr>
      <w:ind w:left="-28"/>
    </w:pPr>
  </w:style>
  <w:style w:type="paragraph" w:customStyle="1" w:styleId="DL-content">
    <w:name w:val="DL - content"/>
    <w:basedOn w:val="Normal"/>
    <w:next w:val="Normal"/>
    <w:uiPriority w:val="98"/>
    <w:semiHidden/>
    <w:rsid w:val="00C87364"/>
    <w:pPr>
      <w:spacing w:after="0" w:line="240" w:lineRule="atLeast"/>
    </w:pPr>
  </w:style>
  <w:style w:type="character" w:customStyle="1" w:styleId="EmphasisItalics">
    <w:name w:val="Emphasis Italics"/>
    <w:basedOn w:val="DefaultParagraphFont"/>
    <w:uiPriority w:val="2"/>
    <w:rsid w:val="00575B6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2039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resources/he-rauemi-tataki-ea-resource-offering-effective-ap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t.nz/act/public/1989/0024/154.0/DLM149450.html" TargetMode="External"/><Relationship Id="rId3" Type="http://schemas.openxmlformats.org/officeDocument/2006/relationships/hyperlink" Target="https://practice.orangatamariki.govt.nz/core-practice/practice-tools/intake-decision-response-tool/report-of-concern-response-pathway/" TargetMode="External"/><Relationship Id="rId7" Type="http://schemas.openxmlformats.org/officeDocument/2006/relationships/hyperlink" Target="https://www.legislation.govt.nz/act/public/1989/0024/154.0/DLM149440.html" TargetMode="External"/><Relationship Id="rId2" Type="http://schemas.openxmlformats.org/officeDocument/2006/relationships/hyperlink" Target="https://practice.orangatamariki.govt.nz/our-work/assessment-and-planning/assessments/intake-and-early-assessment/initial-assessment-phase/" TargetMode="External"/><Relationship Id="rId1" Type="http://schemas.openxmlformats.org/officeDocument/2006/relationships/hyperlink" Target="https://www.legislation.govt.nz/act/public/1989/0024/154.0/DLM149470.html" TargetMode="External"/><Relationship Id="rId6" Type="http://schemas.openxmlformats.org/officeDocument/2006/relationships/hyperlink" Target="https://www.legislation.govt.nz/act/public/1989/0024/154.0/LMS216298.html" TargetMode="External"/><Relationship Id="rId11" Type="http://schemas.openxmlformats.org/officeDocument/2006/relationships/hyperlink" Target="https://practice.orangatamariki.govt.nz/" TargetMode="External"/><Relationship Id="rId5" Type="http://schemas.openxmlformats.org/officeDocument/2006/relationships/hyperlink" Target="https://www.legislation.govt.nz/act/public/1989/0024/154.0/DLM149470.html" TargetMode="External"/><Relationship Id="rId10" Type="http://schemas.openxmlformats.org/officeDocument/2006/relationships/hyperlink" Target="https://www.legislation.govt.nz/act/public/1989/0024/154.0/DLM149467.html" TargetMode="External"/><Relationship Id="rId4" Type="http://schemas.openxmlformats.org/officeDocument/2006/relationships/hyperlink" Target="https://practice.orangatamariki.govt.nz/core-practice/practice-tools/other-practice-and-assessment-tools/safety-and-risk-screen/" TargetMode="External"/><Relationship Id="rId9" Type="http://schemas.openxmlformats.org/officeDocument/2006/relationships/hyperlink" Target="https://practice.orangatamariki.govt.nz/core-practice/practice-tools/other-practice-and-assessment-tools/practice-trigg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Opinions\SA%20Opinion%20Final.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AC24-467D-4125-B3D1-BDE79A57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Opinion Final</Template>
  <TotalTime>0</TotalTime>
  <Pages>14</Pages>
  <Words>4349</Words>
  <Characters>24794</Characters>
  <Application>Microsoft Office Word</Application>
  <DocSecurity>0</DocSecurity>
  <Lines>206</Lines>
  <Paragraphs>58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Background</vt:lpstr>
      <vt:lpstr>Complaint</vt:lpstr>
      <vt:lpstr>My Investigation</vt:lpstr>
      <vt:lpstr>Analysis</vt:lpstr>
      <vt:lpstr>    Action taken on the report of concern</vt:lpstr>
      <vt:lpstr>        Other matters</vt:lpstr>
      <vt:lpstr>    Information provided to Malachi’s uncle about Oranga Tamariki’s complaints proce</vt:lpstr>
      <vt:lpstr>Chief Ombudsman’s opinion </vt:lpstr>
      <vt:lpstr>Recommendations</vt:lpstr>
      <vt:lpstr>Legislation</vt:lpstr>
      <vt:lpstr>        Ombudsmen Act 1975</vt:lpstr>
      <vt:lpstr>        Oranga Tamariki Act 1989</vt:lpstr>
    </vt:vector>
  </TitlesOfParts>
  <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2022-10-04T20:12:00Z</dcterms:created>
  <dcterms:modified xsi:type="dcterms:W3CDTF">2022-10-04T20:12:00Z</dcterms:modified>
</cp:coreProperties>
</file>