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444D7"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4499A6CB" w14:textId="77777777" w:rsidTr="00094D1D">
        <w:trPr>
          <w:trHeight w:hRule="exact" w:val="2268"/>
        </w:trPr>
        <w:tc>
          <w:tcPr>
            <w:tcW w:w="9576" w:type="dxa"/>
            <w:tcMar>
              <w:top w:w="794" w:type="dxa"/>
            </w:tcMar>
            <w:vAlign w:val="bottom"/>
          </w:tcPr>
          <w:p w14:paraId="41C1D874" w14:textId="7921B631" w:rsidR="00166C30" w:rsidRPr="000E36A8" w:rsidRDefault="007A2673" w:rsidP="00F96393">
            <w:pPr>
              <w:pStyle w:val="Title"/>
            </w:pPr>
            <w:r>
              <w:t>I</w:t>
            </w:r>
            <w:r w:rsidR="00574533">
              <w:t>nadequate record-keeping</w:t>
            </w:r>
            <w:r w:rsidR="00AC1AEB">
              <w:t xml:space="preserve"> </w:t>
            </w:r>
            <w:r>
              <w:t xml:space="preserve">and unreasonable decisions </w:t>
            </w:r>
            <w:r w:rsidR="00AC1AEB">
              <w:t>by school b</w:t>
            </w:r>
            <w:r>
              <w:t xml:space="preserve">oard: </w:t>
            </w:r>
            <w:r w:rsidR="003C2F6C">
              <w:t>S</w:t>
            </w:r>
            <w:r>
              <w:t>tudent discipline</w:t>
            </w:r>
          </w:p>
        </w:tc>
      </w:tr>
      <w:tr w:rsidR="00C87D78" w14:paraId="0B3F5F32" w14:textId="77777777" w:rsidTr="00094D1D">
        <w:trPr>
          <w:trHeight w:hRule="exact" w:val="340"/>
        </w:trPr>
        <w:tc>
          <w:tcPr>
            <w:tcW w:w="9576" w:type="dxa"/>
            <w:vAlign w:val="bottom"/>
          </w:tcPr>
          <w:p w14:paraId="55A08C9E" w14:textId="77777777" w:rsidR="00C87D78" w:rsidRDefault="00C87D78" w:rsidP="00C731DE"/>
        </w:tc>
      </w:tr>
      <w:tr w:rsidR="00F417FD" w14:paraId="568294A4" w14:textId="77777777" w:rsidTr="00094D1D">
        <w:trPr>
          <w:trHeight w:val="2098"/>
        </w:trPr>
        <w:tc>
          <w:tcPr>
            <w:tcW w:w="9576" w:type="dxa"/>
          </w:tcPr>
          <w:p w14:paraId="1933B3D1" w14:textId="379D5880" w:rsidR="00F417FD" w:rsidRPr="00971749" w:rsidRDefault="00F417FD" w:rsidP="00971749">
            <w:pPr>
              <w:pStyle w:val="Heading1-Subnonboldtext"/>
            </w:pPr>
            <w:r w:rsidRPr="00971749">
              <w:rPr>
                <w:rStyle w:val="Heading1-Sub"/>
              </w:rPr>
              <w:t>Legislation</w:t>
            </w:r>
            <w:r w:rsidRPr="00971749">
              <w:tab/>
            </w:r>
            <w:r w:rsidR="00D0644A">
              <w:t>Ombudsmen Act 1975</w:t>
            </w:r>
            <w:r w:rsidR="00AE0D71">
              <w:t xml:space="preserve">, Education and Training Act 2020 </w:t>
            </w:r>
          </w:p>
          <w:p w14:paraId="6F862AAC" w14:textId="77777777" w:rsidR="00F417FD" w:rsidRPr="00971749" w:rsidRDefault="00F417FD" w:rsidP="00971749">
            <w:pPr>
              <w:pStyle w:val="Heading1-Subnonboldtext"/>
            </w:pPr>
            <w:r w:rsidRPr="00971749">
              <w:rPr>
                <w:rStyle w:val="Heading1-Sub"/>
              </w:rPr>
              <w:t>Agency</w:t>
            </w:r>
            <w:r w:rsidRPr="00971749">
              <w:tab/>
            </w:r>
            <w:r w:rsidR="00D0644A">
              <w:t>Bethlehem College School Board</w:t>
            </w:r>
          </w:p>
          <w:p w14:paraId="091FE8D9" w14:textId="63A6D220" w:rsidR="00F417FD" w:rsidRPr="00971749" w:rsidRDefault="00F417FD" w:rsidP="00971749">
            <w:pPr>
              <w:pStyle w:val="Heading1-Subnonboldtext"/>
            </w:pPr>
            <w:r w:rsidRPr="00971749">
              <w:rPr>
                <w:rStyle w:val="Heading1-Sub"/>
              </w:rPr>
              <w:t>Ombudsman</w:t>
            </w:r>
            <w:r w:rsidRPr="00971749">
              <w:tab/>
            </w:r>
            <w:r w:rsidR="00D0644A">
              <w:t xml:space="preserve">Peter Boshier </w:t>
            </w:r>
          </w:p>
          <w:p w14:paraId="283470B9" w14:textId="16F26BF2" w:rsidR="00F417FD" w:rsidRPr="00971749" w:rsidRDefault="00F417FD" w:rsidP="00971749">
            <w:pPr>
              <w:pStyle w:val="Heading1-Subnonboldtext"/>
            </w:pPr>
            <w:r w:rsidRPr="00971749">
              <w:rPr>
                <w:rStyle w:val="Heading1-Sub"/>
              </w:rPr>
              <w:t>Case number(s)</w:t>
            </w:r>
            <w:r w:rsidRPr="00971749">
              <w:tab/>
            </w:r>
            <w:r w:rsidR="007A36C0">
              <w:t>53</w:t>
            </w:r>
            <w:r w:rsidR="00D0644A">
              <w:t>3782</w:t>
            </w:r>
            <w:r w:rsidR="00AE0D71">
              <w:t>; 542721, 542767 and</w:t>
            </w:r>
            <w:r w:rsidR="000A1A30">
              <w:t xml:space="preserve"> 542864</w:t>
            </w:r>
          </w:p>
          <w:p w14:paraId="7ED54344" w14:textId="4F7515B4" w:rsidR="00F417FD" w:rsidRPr="00F417FD" w:rsidRDefault="00F417FD" w:rsidP="00D0644A">
            <w:pPr>
              <w:pStyle w:val="Heading1-Subnonboldtext"/>
            </w:pPr>
            <w:r w:rsidRPr="00971749">
              <w:rPr>
                <w:rStyle w:val="Heading1-Sub"/>
              </w:rPr>
              <w:t>Date</w:t>
            </w:r>
            <w:r w:rsidRPr="00971749">
              <w:tab/>
            </w:r>
            <w:r w:rsidR="0074125A">
              <w:t xml:space="preserve">April 2021, June 2022 </w:t>
            </w:r>
          </w:p>
        </w:tc>
      </w:tr>
    </w:tbl>
    <w:p w14:paraId="6A8D4B0A" w14:textId="77777777" w:rsidR="00094D1D" w:rsidRPr="004D67B3" w:rsidRDefault="00094D1D" w:rsidP="004D67B3">
      <w:pPr>
        <w:pStyle w:val="BodyText"/>
      </w:pPr>
    </w:p>
    <w:p w14:paraId="4984BB50" w14:textId="388D9AB6" w:rsidR="00E77A82" w:rsidRPr="004D67B3" w:rsidRDefault="00AC1AEB" w:rsidP="004D67B3">
      <w:pPr>
        <w:pStyle w:val="BodyText"/>
        <w:rPr>
          <w:rStyle w:val="Italics"/>
        </w:rPr>
      </w:pPr>
      <w:r w:rsidRPr="004D67B3">
        <w:rPr>
          <w:rStyle w:val="Italics"/>
        </w:rPr>
        <w:t>Two investigations into complaints about decisions by</w:t>
      </w:r>
      <w:r w:rsidR="003A7C2D" w:rsidRPr="004D67B3">
        <w:rPr>
          <w:rStyle w:val="Italics"/>
        </w:rPr>
        <w:t xml:space="preserve"> Bethlehem College School Board </w:t>
      </w:r>
      <w:r w:rsidRPr="004D67B3">
        <w:rPr>
          <w:rStyle w:val="Italics"/>
        </w:rPr>
        <w:t xml:space="preserve">made under the Education and Training Act 2020 to exclude/expel students – </w:t>
      </w:r>
      <w:r w:rsidR="00B21778">
        <w:rPr>
          <w:rStyle w:val="Italics"/>
        </w:rPr>
        <w:t>i</w:t>
      </w:r>
      <w:r w:rsidR="00FC66C7" w:rsidRPr="004D67B3">
        <w:rPr>
          <w:rStyle w:val="Italics"/>
        </w:rPr>
        <w:t>nvestigations raised</w:t>
      </w:r>
      <w:r w:rsidR="00052845" w:rsidRPr="004D67B3">
        <w:rPr>
          <w:rStyle w:val="Italics"/>
        </w:rPr>
        <w:t xml:space="preserve"> </w:t>
      </w:r>
      <w:r w:rsidR="00C632C7" w:rsidRPr="004D67B3">
        <w:rPr>
          <w:rStyle w:val="Italics"/>
        </w:rPr>
        <w:t xml:space="preserve">significant </w:t>
      </w:r>
      <w:r w:rsidR="00052845" w:rsidRPr="004D67B3">
        <w:rPr>
          <w:rStyle w:val="Italics"/>
        </w:rPr>
        <w:t>issues of record-keeping and decision</w:t>
      </w:r>
      <w:r w:rsidR="00292D83">
        <w:rPr>
          <w:rStyle w:val="Italics"/>
        </w:rPr>
        <w:t>-</w:t>
      </w:r>
      <w:r w:rsidR="00052845" w:rsidRPr="004D67B3">
        <w:rPr>
          <w:rStyle w:val="Italics"/>
        </w:rPr>
        <w:t xml:space="preserve">making – </w:t>
      </w:r>
      <w:r w:rsidR="00C632C7" w:rsidRPr="004D67B3">
        <w:rPr>
          <w:rStyle w:val="Italics"/>
        </w:rPr>
        <w:t>Ombudsman found</w:t>
      </w:r>
      <w:r w:rsidR="00052845" w:rsidRPr="004D67B3">
        <w:rPr>
          <w:rStyle w:val="Italics"/>
        </w:rPr>
        <w:t xml:space="preserve"> that record</w:t>
      </w:r>
      <w:r w:rsidR="00444678" w:rsidRPr="004D67B3">
        <w:rPr>
          <w:rStyle w:val="Italics"/>
        </w:rPr>
        <w:t>-</w:t>
      </w:r>
      <w:r w:rsidR="00052845" w:rsidRPr="004D67B3">
        <w:rPr>
          <w:rStyle w:val="Italics"/>
        </w:rPr>
        <w:t xml:space="preserve">keeping was </w:t>
      </w:r>
      <w:r w:rsidR="00C632C7" w:rsidRPr="004D67B3">
        <w:rPr>
          <w:rStyle w:val="Italics"/>
        </w:rPr>
        <w:t>inadequate</w:t>
      </w:r>
      <w:r w:rsidR="00052845" w:rsidRPr="004D67B3">
        <w:rPr>
          <w:rStyle w:val="Italics"/>
        </w:rPr>
        <w:t xml:space="preserve"> - Board</w:t>
      </w:r>
      <w:r w:rsidR="00554A4C">
        <w:rPr>
          <w:rStyle w:val="Italics"/>
        </w:rPr>
        <w:t>’s decision-</w:t>
      </w:r>
      <w:r w:rsidR="00CB2EA6">
        <w:rPr>
          <w:rStyle w:val="Italics"/>
        </w:rPr>
        <w:t>making process was</w:t>
      </w:r>
      <w:r w:rsidR="00052845" w:rsidRPr="004D67B3">
        <w:rPr>
          <w:rStyle w:val="Italics"/>
        </w:rPr>
        <w:t xml:space="preserve"> </w:t>
      </w:r>
      <w:r w:rsidR="00F024AF">
        <w:rPr>
          <w:rStyle w:val="Italics"/>
        </w:rPr>
        <w:t>un</w:t>
      </w:r>
      <w:r w:rsidR="00052845" w:rsidRPr="004D67B3">
        <w:rPr>
          <w:rStyle w:val="Italics"/>
        </w:rPr>
        <w:t>reasonable</w:t>
      </w:r>
      <w:r w:rsidR="00BE6B10" w:rsidRPr="004D67B3">
        <w:rPr>
          <w:rStyle w:val="Italics"/>
        </w:rPr>
        <w:t xml:space="preserve"> </w:t>
      </w:r>
      <w:r w:rsidR="00052845" w:rsidRPr="004D67B3">
        <w:rPr>
          <w:rStyle w:val="Italics"/>
        </w:rPr>
        <w:t xml:space="preserve">– </w:t>
      </w:r>
      <w:r w:rsidR="00CB2EA6">
        <w:rPr>
          <w:rStyle w:val="Italics"/>
        </w:rPr>
        <w:t>removal of student from school</w:t>
      </w:r>
      <w:r w:rsidR="00554A4C">
        <w:rPr>
          <w:rStyle w:val="Italics"/>
        </w:rPr>
        <w:t xml:space="preserve"> is last resort - statutory tests </w:t>
      </w:r>
      <w:r w:rsidR="00FA17E4">
        <w:rPr>
          <w:rStyle w:val="Italics"/>
        </w:rPr>
        <w:t xml:space="preserve">for removal </w:t>
      </w:r>
      <w:r w:rsidR="00554A4C">
        <w:rPr>
          <w:rStyle w:val="Italics"/>
        </w:rPr>
        <w:t xml:space="preserve">not satisfied. </w:t>
      </w:r>
      <w:r w:rsidR="00CB2EA6">
        <w:rPr>
          <w:rStyle w:val="Italics"/>
        </w:rPr>
        <w:t xml:space="preserve"> </w:t>
      </w:r>
    </w:p>
    <w:p w14:paraId="46F7540F" w14:textId="12028A0A" w:rsidR="000B6B07" w:rsidRPr="000B6B07" w:rsidRDefault="00061EE3" w:rsidP="000B6B07">
      <w:pPr>
        <w:pStyle w:val="Heading1"/>
        <w:spacing w:after="240"/>
      </w:pPr>
      <w:r>
        <w:t>Introduction</w:t>
      </w:r>
    </w:p>
    <w:p w14:paraId="2A138085" w14:textId="30FB0317" w:rsidR="00E14AA0" w:rsidRDefault="00061EE3" w:rsidP="007E0C9D">
      <w:pPr>
        <w:pStyle w:val="Heading2"/>
        <w:numPr>
          <w:ilvl w:val="0"/>
          <w:numId w:val="0"/>
        </w:numPr>
        <w:spacing w:before="240"/>
      </w:pPr>
      <w:r>
        <w:t>Background</w:t>
      </w:r>
    </w:p>
    <w:p w14:paraId="7F7DD28C" w14:textId="65EA3720" w:rsidR="000A1A30" w:rsidRDefault="00AC1AEB" w:rsidP="00A13B4E">
      <w:pPr>
        <w:pStyle w:val="BodyText"/>
      </w:pPr>
      <w:r>
        <w:t>Investigation</w:t>
      </w:r>
      <w:r w:rsidR="00AE0D71">
        <w:t xml:space="preserve"> </w:t>
      </w:r>
      <w:r>
        <w:t xml:space="preserve">A </w:t>
      </w:r>
      <w:r w:rsidR="00AE0D71">
        <w:t xml:space="preserve">(ref: </w:t>
      </w:r>
      <w:r w:rsidR="000A1A30">
        <w:t>533</w:t>
      </w:r>
      <w:r w:rsidR="00AE0D71">
        <w:t>7</w:t>
      </w:r>
      <w:r w:rsidR="000A1A30">
        <w:t>82</w:t>
      </w:r>
      <w:r w:rsidR="00AE0D71">
        <w:t>)</w:t>
      </w:r>
      <w:r w:rsidR="000A1A30">
        <w:t xml:space="preserve"> concerned the decision of </w:t>
      </w:r>
      <w:r w:rsidR="000A1A30" w:rsidRPr="000A1A30">
        <w:rPr>
          <w:rFonts w:eastAsia="Calibri" w:cs="Times New Roman"/>
        </w:rPr>
        <w:t>Bethlehem College</w:t>
      </w:r>
      <w:r w:rsidR="003A7C2D">
        <w:rPr>
          <w:rFonts w:eastAsia="Calibri" w:cs="Times New Roman"/>
        </w:rPr>
        <w:t xml:space="preserve"> </w:t>
      </w:r>
      <w:r w:rsidR="004D67B3">
        <w:rPr>
          <w:rFonts w:eastAsia="Calibri" w:cs="Times New Roman"/>
        </w:rPr>
        <w:t xml:space="preserve">School </w:t>
      </w:r>
      <w:r w:rsidR="003A7C2D">
        <w:rPr>
          <w:rFonts w:eastAsia="Calibri" w:cs="Times New Roman"/>
        </w:rPr>
        <w:t>Board</w:t>
      </w:r>
      <w:r w:rsidR="00444678">
        <w:rPr>
          <w:rFonts w:eastAsia="Calibri" w:cs="Times New Roman"/>
        </w:rPr>
        <w:t xml:space="preserve"> </w:t>
      </w:r>
      <w:r>
        <w:rPr>
          <w:rFonts w:eastAsia="Calibri" w:cs="Times New Roman"/>
        </w:rPr>
        <w:t>(the Board) to exclude</w:t>
      </w:r>
      <w:r w:rsidR="00454B56">
        <w:rPr>
          <w:rStyle w:val="FootnoteReference"/>
          <w:rFonts w:eastAsia="Calibri" w:cs="Times New Roman"/>
        </w:rPr>
        <w:footnoteReference w:id="2"/>
      </w:r>
      <w:r w:rsidR="000A1A30">
        <w:rPr>
          <w:rFonts w:eastAsia="Calibri" w:cs="Times New Roman"/>
        </w:rPr>
        <w:t xml:space="preserve"> a student on the basis of </w:t>
      </w:r>
      <w:r w:rsidR="004D67B3" w:rsidRPr="0072182C">
        <w:rPr>
          <w:rStyle w:val="Quotationwithinthesentence"/>
        </w:rPr>
        <w:t>‘</w:t>
      </w:r>
      <w:r w:rsidR="00627B34" w:rsidRPr="0072182C">
        <w:rPr>
          <w:rStyle w:val="Quotationwithinthesentence"/>
        </w:rPr>
        <w:t>gross misconduct</w:t>
      </w:r>
      <w:r w:rsidR="004D67B3" w:rsidRPr="0072182C">
        <w:rPr>
          <w:rStyle w:val="Quotationwithinthesentence"/>
        </w:rPr>
        <w:t>’</w:t>
      </w:r>
      <w:r w:rsidR="00627B34">
        <w:rPr>
          <w:rFonts w:eastAsia="Calibri" w:cs="Times New Roman"/>
        </w:rPr>
        <w:t xml:space="preserve"> following the decision of the </w:t>
      </w:r>
      <w:r w:rsidR="003C2F6C">
        <w:rPr>
          <w:rFonts w:eastAsia="Calibri" w:cs="Times New Roman"/>
        </w:rPr>
        <w:t>p</w:t>
      </w:r>
      <w:r w:rsidR="00627B34">
        <w:rPr>
          <w:rFonts w:eastAsia="Calibri" w:cs="Times New Roman"/>
        </w:rPr>
        <w:t xml:space="preserve">rincipal to suspend the student due to </w:t>
      </w:r>
      <w:r w:rsidR="004D67B3" w:rsidRPr="0072182C">
        <w:rPr>
          <w:rStyle w:val="Quotationwithinthesentence"/>
        </w:rPr>
        <w:t>‘</w:t>
      </w:r>
      <w:r w:rsidR="000A1A30" w:rsidRPr="0072182C">
        <w:rPr>
          <w:rStyle w:val="Quotationwithinthesentence"/>
        </w:rPr>
        <w:t>continual disobedience</w:t>
      </w:r>
      <w:r w:rsidR="004D67B3" w:rsidRPr="0072182C">
        <w:rPr>
          <w:rStyle w:val="Quotationwithinthesentence"/>
        </w:rPr>
        <w:t>’</w:t>
      </w:r>
      <w:r w:rsidR="000A1A30">
        <w:rPr>
          <w:rFonts w:eastAsia="Calibri" w:cs="Times New Roman"/>
        </w:rPr>
        <w:t>. The</w:t>
      </w:r>
      <w:r w:rsidR="002C0D91">
        <w:rPr>
          <w:rFonts w:eastAsia="Calibri" w:cs="Times New Roman"/>
        </w:rPr>
        <w:t xml:space="preserve"> </w:t>
      </w:r>
      <w:r w:rsidR="00B372EF">
        <w:rPr>
          <w:rFonts w:eastAsia="Calibri" w:cs="Times New Roman"/>
        </w:rPr>
        <w:t xml:space="preserve">primary </w:t>
      </w:r>
      <w:r w:rsidR="002C0D91">
        <w:rPr>
          <w:rFonts w:eastAsia="Calibri" w:cs="Times New Roman"/>
        </w:rPr>
        <w:t>issues of concern included</w:t>
      </w:r>
      <w:r w:rsidR="00AE0D71">
        <w:rPr>
          <w:rFonts w:eastAsia="Calibri" w:cs="Times New Roman"/>
        </w:rPr>
        <w:t xml:space="preserve"> </w:t>
      </w:r>
      <w:r w:rsidR="00AE0D71">
        <w:t>disobedience</w:t>
      </w:r>
      <w:r w:rsidR="00A52B9B">
        <w:t>/disrespect</w:t>
      </w:r>
      <w:r w:rsidR="00E74ACC">
        <w:t xml:space="preserve">, </w:t>
      </w:r>
      <w:r w:rsidR="00A52B9B">
        <w:t xml:space="preserve">and </w:t>
      </w:r>
      <w:r w:rsidR="00E74ACC">
        <w:t>the student’s conduct towards other students</w:t>
      </w:r>
      <w:r w:rsidR="00AE0D71">
        <w:t>. The student had been previously disciplined for cannabis use and vaping</w:t>
      </w:r>
      <w:r w:rsidR="004D67B3">
        <w:t>,</w:t>
      </w:r>
      <w:r w:rsidR="00AE0D71">
        <w:t xml:space="preserve"> but this was not a significant factor in the </w:t>
      </w:r>
      <w:r w:rsidR="00B372EF">
        <w:t xml:space="preserve">exclusion </w:t>
      </w:r>
      <w:r w:rsidR="00AE0D71">
        <w:t xml:space="preserve">decision. </w:t>
      </w:r>
    </w:p>
    <w:p w14:paraId="401D277D" w14:textId="106FEC1C" w:rsidR="00C057A2" w:rsidRDefault="00AC1AEB" w:rsidP="00061EE3">
      <w:pPr>
        <w:pStyle w:val="BodyText"/>
        <w:rPr>
          <w:rFonts w:eastAsia="Calibri" w:cs="Times New Roman"/>
        </w:rPr>
      </w:pPr>
      <w:r>
        <w:rPr>
          <w:rFonts w:eastAsia="Calibri" w:cs="Times New Roman"/>
        </w:rPr>
        <w:t>During investigation</w:t>
      </w:r>
      <w:r w:rsidR="00AE0D71" w:rsidRPr="00AE0D71">
        <w:rPr>
          <w:rFonts w:eastAsia="Calibri" w:cs="Times New Roman"/>
        </w:rPr>
        <w:t xml:space="preserve"> A</w:t>
      </w:r>
      <w:r w:rsidR="00AE0D71">
        <w:rPr>
          <w:rFonts w:eastAsia="Calibri" w:cs="Times New Roman"/>
        </w:rPr>
        <w:t>, the Ombudsman received</w:t>
      </w:r>
      <w:r w:rsidR="00C057A2">
        <w:rPr>
          <w:rFonts w:eastAsia="Calibri" w:cs="Times New Roman"/>
        </w:rPr>
        <w:t xml:space="preserve"> </w:t>
      </w:r>
      <w:r w:rsidR="00C632C7">
        <w:rPr>
          <w:rFonts w:eastAsia="Calibri" w:cs="Times New Roman"/>
        </w:rPr>
        <w:t>other complaints</w:t>
      </w:r>
      <w:r w:rsidR="00E93C17">
        <w:rPr>
          <w:rFonts w:eastAsia="Calibri" w:cs="Times New Roman"/>
        </w:rPr>
        <w:t xml:space="preserve"> </w:t>
      </w:r>
      <w:r w:rsidR="00AE0D71" w:rsidRPr="00AE0D71">
        <w:rPr>
          <w:rFonts w:eastAsia="Calibri" w:cs="Times New Roman"/>
        </w:rPr>
        <w:t xml:space="preserve">about the Board’s decisions to </w:t>
      </w:r>
      <w:r w:rsidR="00A52B9B">
        <w:rPr>
          <w:rFonts w:eastAsia="Calibri" w:cs="Times New Roman"/>
        </w:rPr>
        <w:t>exclude/</w:t>
      </w:r>
      <w:r w:rsidR="00AE0D71" w:rsidRPr="00AE0D71">
        <w:rPr>
          <w:rFonts w:eastAsia="Calibri" w:cs="Times New Roman"/>
        </w:rPr>
        <w:t>expel</w:t>
      </w:r>
      <w:r w:rsidR="00AC53CE">
        <w:rPr>
          <w:rStyle w:val="FootnoteReference"/>
          <w:rFonts w:eastAsia="Calibri" w:cs="Times New Roman"/>
        </w:rPr>
        <w:footnoteReference w:id="3"/>
      </w:r>
      <w:r w:rsidR="00AE0D71" w:rsidRPr="00AE0D71">
        <w:rPr>
          <w:rFonts w:eastAsia="Calibri" w:cs="Times New Roman"/>
        </w:rPr>
        <w:t xml:space="preserve"> </w:t>
      </w:r>
      <w:r w:rsidR="00FB76EA">
        <w:rPr>
          <w:rFonts w:eastAsia="Calibri" w:cs="Times New Roman"/>
        </w:rPr>
        <w:t xml:space="preserve">a group of </w:t>
      </w:r>
      <w:r w:rsidR="00AE0D71" w:rsidRPr="00AE0D71">
        <w:rPr>
          <w:rFonts w:eastAsia="Calibri" w:cs="Times New Roman"/>
        </w:rPr>
        <w:t>student</w:t>
      </w:r>
      <w:r w:rsidR="00AE0D71">
        <w:rPr>
          <w:rFonts w:eastAsia="Calibri" w:cs="Times New Roman"/>
        </w:rPr>
        <w:t>s</w:t>
      </w:r>
      <w:r w:rsidR="00E93C17">
        <w:rPr>
          <w:rFonts w:eastAsia="Calibri" w:cs="Times New Roman"/>
        </w:rPr>
        <w:t>.</w:t>
      </w:r>
      <w:r w:rsidR="00C057A2">
        <w:rPr>
          <w:rFonts w:eastAsia="Calibri" w:cs="Times New Roman"/>
        </w:rPr>
        <w:t xml:space="preserve"> </w:t>
      </w:r>
      <w:r w:rsidR="00AE0D71" w:rsidRPr="00AE0D71">
        <w:rPr>
          <w:rFonts w:eastAsia="Calibri" w:cs="Times New Roman"/>
        </w:rPr>
        <w:t>T</w:t>
      </w:r>
      <w:r>
        <w:rPr>
          <w:rFonts w:eastAsia="Calibri" w:cs="Times New Roman"/>
        </w:rPr>
        <w:t>he Ombudsman deferred investigating</w:t>
      </w:r>
      <w:r w:rsidR="00E93C17">
        <w:rPr>
          <w:rFonts w:eastAsia="Calibri" w:cs="Times New Roman"/>
        </w:rPr>
        <w:t xml:space="preserve"> </w:t>
      </w:r>
      <w:r w:rsidR="00C057A2">
        <w:rPr>
          <w:rFonts w:eastAsia="Calibri" w:cs="Times New Roman"/>
        </w:rPr>
        <w:t>these complaints</w:t>
      </w:r>
      <w:r>
        <w:rPr>
          <w:rFonts w:eastAsia="Calibri" w:cs="Times New Roman"/>
        </w:rPr>
        <w:t xml:space="preserve"> until </w:t>
      </w:r>
      <w:r w:rsidR="00AE0D71" w:rsidRPr="00AE0D71">
        <w:rPr>
          <w:rFonts w:eastAsia="Calibri" w:cs="Times New Roman"/>
        </w:rPr>
        <w:t>investigat</w:t>
      </w:r>
      <w:r w:rsidR="00AE0D71">
        <w:rPr>
          <w:rFonts w:eastAsia="Calibri" w:cs="Times New Roman"/>
        </w:rPr>
        <w:t xml:space="preserve">ion </w:t>
      </w:r>
      <w:r>
        <w:rPr>
          <w:rFonts w:eastAsia="Calibri" w:cs="Times New Roman"/>
        </w:rPr>
        <w:t xml:space="preserve">A was finalised. </w:t>
      </w:r>
    </w:p>
    <w:p w14:paraId="493643E2" w14:textId="4D6E41A8" w:rsidR="00E14AA0" w:rsidRPr="00E93C17" w:rsidRDefault="00AC1AEB" w:rsidP="00061EE3">
      <w:pPr>
        <w:pStyle w:val="BodyText"/>
        <w:rPr>
          <w:rFonts w:eastAsia="Calibri" w:cs="Times New Roman"/>
        </w:rPr>
      </w:pPr>
      <w:r>
        <w:lastRenderedPageBreak/>
        <w:t>I</w:t>
      </w:r>
      <w:r w:rsidR="00C057A2">
        <w:t xml:space="preserve">nvestigation </w:t>
      </w:r>
      <w:r>
        <w:t>B (</w:t>
      </w:r>
      <w:r w:rsidR="00C057A2">
        <w:t xml:space="preserve">refs: </w:t>
      </w:r>
      <w:r w:rsidR="00C057A2" w:rsidRPr="00C057A2">
        <w:t>542721, 542767 and 542864</w:t>
      </w:r>
      <w:r w:rsidR="00C057A2">
        <w:t>)</w:t>
      </w:r>
      <w:r w:rsidR="000A1A30">
        <w:t xml:space="preserve"> </w:t>
      </w:r>
      <w:r w:rsidR="000A1A30" w:rsidRPr="000A1A30">
        <w:t>concerned the d</w:t>
      </w:r>
      <w:r w:rsidR="00E93C17">
        <w:t xml:space="preserve">ecision of the Board to expel </w:t>
      </w:r>
      <w:r>
        <w:t xml:space="preserve">a group of </w:t>
      </w:r>
      <w:r w:rsidR="000A1A30" w:rsidRPr="000A1A30">
        <w:t>student</w:t>
      </w:r>
      <w:r w:rsidR="000A1A30">
        <w:t>s</w:t>
      </w:r>
      <w:r w:rsidR="000A1A30" w:rsidRPr="000A1A30">
        <w:t xml:space="preserve"> </w:t>
      </w:r>
      <w:r w:rsidR="009211F6">
        <w:t xml:space="preserve">from Bethlehem College </w:t>
      </w:r>
      <w:r w:rsidR="000A1A30" w:rsidRPr="000A1A30">
        <w:t xml:space="preserve">on the basis of </w:t>
      </w:r>
      <w:r w:rsidR="004D67B3" w:rsidRPr="0072182C">
        <w:rPr>
          <w:rStyle w:val="Quotationwithinthesentence"/>
        </w:rPr>
        <w:t>‘</w:t>
      </w:r>
      <w:r w:rsidR="000A1A30" w:rsidRPr="0072182C">
        <w:rPr>
          <w:rStyle w:val="Quotationwithinthesentence"/>
        </w:rPr>
        <w:t>gross misconduct</w:t>
      </w:r>
      <w:r w:rsidR="004D67B3" w:rsidRPr="0072182C">
        <w:rPr>
          <w:rStyle w:val="Quotationwithinthesentence"/>
        </w:rPr>
        <w:t>’</w:t>
      </w:r>
      <w:r w:rsidR="000A1A30">
        <w:t xml:space="preserve">. </w:t>
      </w:r>
      <w:r w:rsidR="002C0D91">
        <w:t xml:space="preserve">This </w:t>
      </w:r>
      <w:r w:rsidR="00061EE3">
        <w:t>centre</w:t>
      </w:r>
      <w:r w:rsidR="00A13B4E">
        <w:t>d</w:t>
      </w:r>
      <w:r w:rsidR="0014341D">
        <w:t xml:space="preserve"> on</w:t>
      </w:r>
      <w:r w:rsidR="00061EE3">
        <w:t xml:space="preserve"> incidents involving truancy and alcoho</w:t>
      </w:r>
      <w:r w:rsidR="00F8235B">
        <w:t>l, amongst other</w:t>
      </w:r>
      <w:r w:rsidR="005C69F8">
        <w:t xml:space="preserve"> matters</w:t>
      </w:r>
      <w:r w:rsidR="00F8235B">
        <w:t xml:space="preserve">. </w:t>
      </w:r>
    </w:p>
    <w:p w14:paraId="4DE99279" w14:textId="3D531386" w:rsidR="003448E6" w:rsidRDefault="00106AAF" w:rsidP="003448E6">
      <w:pPr>
        <w:pStyle w:val="Heading2"/>
      </w:pPr>
      <w:r>
        <w:t>Legislative</w:t>
      </w:r>
      <w:r w:rsidR="00A45E94">
        <w:t xml:space="preserve"> framework</w:t>
      </w:r>
      <w:r w:rsidR="00383159">
        <w:t xml:space="preserve"> for </w:t>
      </w:r>
      <w:r w:rsidR="00A13B4E">
        <w:t xml:space="preserve">school </w:t>
      </w:r>
      <w:r w:rsidR="00383159">
        <w:t xml:space="preserve">discipline </w:t>
      </w:r>
    </w:p>
    <w:p w14:paraId="1ACACA0D" w14:textId="1B99D28C" w:rsidR="00F402E0" w:rsidRPr="00C42BAE" w:rsidRDefault="00C57E1B" w:rsidP="00C42BAE">
      <w:pPr>
        <w:rPr>
          <w:rFonts w:eastAsia="Calibri" w:cs="Times New Roman"/>
        </w:rPr>
      </w:pPr>
      <w:r>
        <w:rPr>
          <w:rFonts w:eastAsia="Calibri" w:cs="Times New Roman"/>
        </w:rPr>
        <w:t xml:space="preserve">Sections </w:t>
      </w:r>
      <w:r w:rsidRPr="00C57E1B">
        <w:rPr>
          <w:rFonts w:eastAsia="Calibri" w:cs="Times New Roman"/>
        </w:rPr>
        <w:t xml:space="preserve">78-88 of the </w:t>
      </w:r>
      <w:hyperlink r:id="rId8" w:history="1">
        <w:r w:rsidRPr="007E0C9D">
          <w:rPr>
            <w:rStyle w:val="Italics"/>
          </w:rPr>
          <w:t xml:space="preserve">Education </w:t>
        </w:r>
        <w:r w:rsidR="008262BC" w:rsidRPr="007E0C9D">
          <w:rPr>
            <w:rStyle w:val="Italics"/>
          </w:rPr>
          <w:t>and Training Act 2020 (the Act)</w:t>
        </w:r>
      </w:hyperlink>
      <w:r w:rsidR="008262BC" w:rsidRPr="007E0C9D">
        <w:rPr>
          <w:rStyle w:val="Italics"/>
        </w:rPr>
        <w:t xml:space="preserve"> </w:t>
      </w:r>
      <w:r w:rsidR="008262BC">
        <w:rPr>
          <w:rFonts w:eastAsia="Calibri" w:cs="Times New Roman"/>
        </w:rPr>
        <w:t>deals with</w:t>
      </w:r>
      <w:r w:rsidR="008262BC" w:rsidRPr="008262BC">
        <w:rPr>
          <w:rFonts w:eastAsia="Calibri" w:cs="Times New Roman"/>
        </w:rPr>
        <w:t xml:space="preserve"> stand-downs, suspensi</w:t>
      </w:r>
      <w:r w:rsidR="008262BC">
        <w:rPr>
          <w:rFonts w:eastAsia="Calibri" w:cs="Times New Roman"/>
        </w:rPr>
        <w:t>ons, exclusions and expulsions (in the case of a student over 16 years old).</w:t>
      </w:r>
      <w:r w:rsidR="009211F6">
        <w:rPr>
          <w:rStyle w:val="FootnoteReference"/>
          <w:rFonts w:eastAsia="Calibri" w:cs="Times New Roman"/>
        </w:rPr>
        <w:footnoteReference w:id="4"/>
      </w:r>
      <w:r w:rsidR="008262BC">
        <w:rPr>
          <w:rFonts w:eastAsia="Calibri" w:cs="Times New Roman"/>
        </w:rPr>
        <w:t xml:space="preserve"> </w:t>
      </w:r>
      <w:r w:rsidR="00C42BAE" w:rsidRPr="00C42BAE">
        <w:rPr>
          <w:rFonts w:eastAsia="Calibri" w:cs="Times New Roman"/>
        </w:rPr>
        <w:t xml:space="preserve">The </w:t>
      </w:r>
      <w:hyperlink r:id="rId9" w:history="1">
        <w:r w:rsidR="00C42BAE" w:rsidRPr="002806BD">
          <w:rPr>
            <w:rStyle w:val="Hyperlink"/>
            <w:rFonts w:eastAsia="Calibri" w:cs="Times New Roman"/>
            <w:i/>
          </w:rPr>
          <w:t>Education (Stand-Down, Suspension, Exclusion and Expulsion) Rules 1999</w:t>
        </w:r>
      </w:hyperlink>
      <w:r w:rsidR="00C42BAE" w:rsidRPr="00C42BAE">
        <w:rPr>
          <w:rFonts w:eastAsia="Calibri" w:cs="Times New Roman"/>
        </w:rPr>
        <w:t xml:space="preserve"> (updated on 1 December 2020) regulate the practice and process to be followed by boards, principals, students, and parents (and other persons) concerning school discipline</w:t>
      </w:r>
      <w:r w:rsidR="00C115A8">
        <w:rPr>
          <w:rFonts w:eastAsia="Calibri" w:cs="Times New Roman"/>
        </w:rPr>
        <w:t>.</w:t>
      </w:r>
      <w:r w:rsidR="00696ABF">
        <w:rPr>
          <w:rFonts w:eastAsia="Calibri" w:cs="Times New Roman"/>
        </w:rPr>
        <w:t xml:space="preserve"> </w:t>
      </w:r>
      <w:r w:rsidR="00C42BAE">
        <w:rPr>
          <w:rFonts w:eastAsia="Calibri" w:cs="Times New Roman"/>
        </w:rPr>
        <w:t>In addition, the Ministry</w:t>
      </w:r>
      <w:r w:rsidR="008262BC">
        <w:rPr>
          <w:rFonts w:eastAsia="Calibri" w:cs="Times New Roman"/>
        </w:rPr>
        <w:t xml:space="preserve"> of Education has issued</w:t>
      </w:r>
      <w:r w:rsidR="00C42BAE">
        <w:rPr>
          <w:rFonts w:eastAsia="Calibri" w:cs="Times New Roman"/>
        </w:rPr>
        <w:t xml:space="preserve"> detailed guidance for school boards about their legal obligations in relation to school discipline.</w:t>
      </w:r>
      <w:r w:rsidR="003448E6" w:rsidRPr="003448E6">
        <w:rPr>
          <w:rFonts w:eastAsia="Calibri" w:cs="Times New Roman"/>
          <w:vertAlign w:val="superscript"/>
        </w:rPr>
        <w:footnoteReference w:id="5"/>
      </w:r>
      <w:r w:rsidR="003448E6" w:rsidRPr="003448E6">
        <w:rPr>
          <w:rFonts w:eastAsia="Calibri" w:cs="Times New Roman"/>
        </w:rPr>
        <w:t xml:space="preserve"> </w:t>
      </w:r>
    </w:p>
    <w:p w14:paraId="70B60AF8" w14:textId="7F1D306E" w:rsidR="00674454" w:rsidRPr="00674454" w:rsidRDefault="00A13B4E" w:rsidP="00674454">
      <w:pPr>
        <w:pStyle w:val="Heading2"/>
        <w:spacing w:before="240"/>
      </w:pPr>
      <w:r>
        <w:t>Process of suspension, exclusion and expulsion</w:t>
      </w:r>
    </w:p>
    <w:p w14:paraId="12CFB96B" w14:textId="6C4619E5" w:rsidR="00A45E94" w:rsidRDefault="002806BD" w:rsidP="002806BD">
      <w:pPr>
        <w:pStyle w:val="BodyText"/>
        <w:rPr>
          <w:rFonts w:eastAsia="Calibri" w:cs="Times New Roman"/>
        </w:rPr>
      </w:pPr>
      <w:r>
        <w:rPr>
          <w:rFonts w:eastAsia="Calibri" w:cs="Times New Roman"/>
        </w:rPr>
        <w:t>Section 80 of the Act enable</w:t>
      </w:r>
      <w:r w:rsidR="007B09EB">
        <w:rPr>
          <w:rFonts w:eastAsia="Calibri" w:cs="Times New Roman"/>
        </w:rPr>
        <w:t>s</w:t>
      </w:r>
      <w:r>
        <w:rPr>
          <w:rFonts w:eastAsia="Calibri" w:cs="Times New Roman"/>
        </w:rPr>
        <w:t xml:space="preserve"> principals to suspend (or stand</w:t>
      </w:r>
      <w:r w:rsidRPr="002806BD">
        <w:rPr>
          <w:rFonts w:eastAsia="Calibri" w:cs="Times New Roman"/>
        </w:rPr>
        <w:t xml:space="preserve"> down) a student</w:t>
      </w:r>
      <w:r>
        <w:rPr>
          <w:rFonts w:eastAsia="Calibri" w:cs="Times New Roman"/>
        </w:rPr>
        <w:t xml:space="preserve"> </w:t>
      </w:r>
      <w:r w:rsidR="00C51530">
        <w:rPr>
          <w:rFonts w:eastAsia="Calibri" w:cs="Times New Roman"/>
        </w:rPr>
        <w:t>if they are satisfied, on reasonable grounds, that there has been</w:t>
      </w:r>
      <w:r w:rsidRPr="002806BD">
        <w:rPr>
          <w:rFonts w:eastAsia="Calibri" w:cs="Times New Roman"/>
        </w:rPr>
        <w:t xml:space="preserve"> gross misconduct, continual disobedience </w:t>
      </w:r>
      <w:r>
        <w:rPr>
          <w:rFonts w:eastAsia="Calibri" w:cs="Times New Roman"/>
        </w:rPr>
        <w:t>or</w:t>
      </w:r>
      <w:r w:rsidRPr="002806BD">
        <w:rPr>
          <w:rFonts w:eastAsia="Calibri" w:cs="Times New Roman"/>
        </w:rPr>
        <w:t xml:space="preserve"> </w:t>
      </w:r>
      <w:r w:rsidR="00C51530">
        <w:rPr>
          <w:rFonts w:eastAsia="Calibri" w:cs="Times New Roman"/>
        </w:rPr>
        <w:t>there is a risk</w:t>
      </w:r>
      <w:r>
        <w:rPr>
          <w:rFonts w:eastAsia="Calibri" w:cs="Times New Roman"/>
        </w:rPr>
        <w:t xml:space="preserve"> of</w:t>
      </w:r>
      <w:r w:rsidRPr="002806BD">
        <w:rPr>
          <w:rFonts w:eastAsia="Calibri" w:cs="Times New Roman"/>
        </w:rPr>
        <w:t xml:space="preserve"> serious harm</w:t>
      </w:r>
      <w:r w:rsidR="00C51530">
        <w:rPr>
          <w:rFonts w:eastAsia="Calibri" w:cs="Times New Roman"/>
        </w:rPr>
        <w:t xml:space="preserve"> if the student continues to attend school</w:t>
      </w:r>
      <w:r w:rsidRPr="002806BD">
        <w:rPr>
          <w:rFonts w:eastAsia="Calibri" w:cs="Times New Roman"/>
        </w:rPr>
        <w:t xml:space="preserve">. </w:t>
      </w:r>
      <w:r w:rsidR="007B09EB" w:rsidRPr="007B09EB">
        <w:rPr>
          <w:rFonts w:eastAsia="Calibri" w:cs="Times New Roman"/>
        </w:rPr>
        <w:t>The board must then meet within a seven</w:t>
      </w:r>
      <w:r w:rsidR="00444678">
        <w:rPr>
          <w:rFonts w:eastAsia="Calibri" w:cs="Times New Roman"/>
        </w:rPr>
        <w:t>-</w:t>
      </w:r>
      <w:r w:rsidR="007B09EB" w:rsidRPr="007B09EB">
        <w:rPr>
          <w:rFonts w:eastAsia="Calibri" w:cs="Times New Roman"/>
        </w:rPr>
        <w:t xml:space="preserve">day period to consider the suspension (section 81(5) of the Act). </w:t>
      </w:r>
      <w:r w:rsidRPr="002806BD">
        <w:rPr>
          <w:rFonts w:eastAsia="Calibri" w:cs="Times New Roman"/>
        </w:rPr>
        <w:t xml:space="preserve">As noted in the Ministry’s guidance on suspension, the High Court has defined gross misconduct as misconduct that is </w:t>
      </w:r>
      <w:r w:rsidR="004D67B3" w:rsidRPr="0072182C">
        <w:rPr>
          <w:rStyle w:val="Quotationwithinthesentence"/>
        </w:rPr>
        <w:t>‘</w:t>
      </w:r>
      <w:r w:rsidRPr="0072182C">
        <w:rPr>
          <w:rStyle w:val="Quotationwithinthesentence"/>
        </w:rPr>
        <w:t>striking and reprehensible to a high degree</w:t>
      </w:r>
      <w:r w:rsidR="004D67B3" w:rsidRPr="0072182C">
        <w:rPr>
          <w:rStyle w:val="Quotationwithinthesentence"/>
        </w:rPr>
        <w:t>’</w:t>
      </w:r>
      <w:r w:rsidRPr="002806BD">
        <w:rPr>
          <w:rFonts w:eastAsia="Calibri" w:cs="Times New Roman"/>
          <w:i/>
        </w:rPr>
        <w:t>.</w:t>
      </w:r>
      <w:r w:rsidRPr="002806BD">
        <w:rPr>
          <w:rFonts w:eastAsia="Calibri" w:cs="Times New Roman"/>
          <w:vertAlign w:val="superscript"/>
        </w:rPr>
        <w:footnoteReference w:id="6"/>
      </w:r>
      <w:r>
        <w:rPr>
          <w:rFonts w:eastAsia="Calibri" w:cs="Times New Roman"/>
        </w:rPr>
        <w:t xml:space="preserve"> </w:t>
      </w:r>
    </w:p>
    <w:p w14:paraId="0637D0EB" w14:textId="1D2E014C" w:rsidR="0014341D" w:rsidRDefault="00541DA0" w:rsidP="00E14AA0">
      <w:pPr>
        <w:pStyle w:val="BodyText"/>
        <w:rPr>
          <w:rFonts w:eastAsia="Calibri" w:cs="Times New Roman"/>
        </w:rPr>
      </w:pPr>
      <w:r>
        <w:rPr>
          <w:rFonts w:eastAsia="Calibri" w:cs="Times New Roman"/>
        </w:rPr>
        <w:t>It</w:t>
      </w:r>
      <w:r w:rsidR="00A45E94">
        <w:rPr>
          <w:rFonts w:eastAsia="Calibri" w:cs="Times New Roman"/>
        </w:rPr>
        <w:t xml:space="preserve"> is important that </w:t>
      </w:r>
      <w:r>
        <w:rPr>
          <w:rFonts w:eastAsia="Calibri" w:cs="Times New Roman"/>
        </w:rPr>
        <w:t>principals take the necessary steps to establish</w:t>
      </w:r>
      <w:r w:rsidR="00A45E94">
        <w:rPr>
          <w:rFonts w:eastAsia="Calibri" w:cs="Times New Roman"/>
        </w:rPr>
        <w:t xml:space="preserve"> the relevant facts and circumstances</w:t>
      </w:r>
      <w:r>
        <w:rPr>
          <w:rFonts w:eastAsia="Calibri" w:cs="Times New Roman"/>
        </w:rPr>
        <w:t xml:space="preserve"> before making any decision</w:t>
      </w:r>
      <w:r w:rsidR="007B09EB">
        <w:rPr>
          <w:rFonts w:eastAsia="Calibri" w:cs="Times New Roman"/>
        </w:rPr>
        <w:t xml:space="preserve"> to suspend a student</w:t>
      </w:r>
      <w:r>
        <w:rPr>
          <w:rFonts w:eastAsia="Calibri" w:cs="Times New Roman"/>
        </w:rPr>
        <w:t xml:space="preserve"> under section 80. </w:t>
      </w:r>
      <w:r w:rsidR="00D47F1E">
        <w:rPr>
          <w:rFonts w:eastAsia="Calibri" w:cs="Times New Roman"/>
        </w:rPr>
        <w:t>Clause</w:t>
      </w:r>
      <w:r w:rsidR="00D47F1E" w:rsidRPr="00D47F1E">
        <w:rPr>
          <w:rFonts w:eastAsia="Calibri" w:cs="Times New Roman"/>
        </w:rPr>
        <w:t xml:space="preserve"> 14 of the </w:t>
      </w:r>
      <w:r w:rsidR="00D47F1E" w:rsidRPr="00D47F1E">
        <w:rPr>
          <w:rFonts w:eastAsia="Calibri" w:cs="Times New Roman"/>
          <w:i/>
        </w:rPr>
        <w:t>Education (Stand-down, Suspension, Exclusion, and Expulsion) Rules 1999</w:t>
      </w:r>
      <w:r>
        <w:rPr>
          <w:rFonts w:eastAsia="Calibri" w:cs="Times New Roman"/>
        </w:rPr>
        <w:t xml:space="preserve"> </w:t>
      </w:r>
      <w:r w:rsidR="00D47F1E" w:rsidRPr="00D47F1E">
        <w:rPr>
          <w:rFonts w:eastAsia="Calibri" w:cs="Times New Roman"/>
        </w:rPr>
        <w:t xml:space="preserve">requires a principal who has suspended a student to provide a written report to the board that contains all relevant information. </w:t>
      </w:r>
      <w:r w:rsidR="00D47F1E">
        <w:rPr>
          <w:rFonts w:eastAsia="Calibri" w:cs="Times New Roman"/>
        </w:rPr>
        <w:t xml:space="preserve">Clause 17 requires that the relevant parts of the principal’s report are shared with the student and their family prior to the suspension meeting. </w:t>
      </w:r>
    </w:p>
    <w:p w14:paraId="6036B3F8" w14:textId="34D32E95" w:rsidR="00D47F1E" w:rsidRPr="006B2165" w:rsidRDefault="006B2165" w:rsidP="00D47F1E">
      <w:pPr>
        <w:pStyle w:val="BodyText"/>
        <w:rPr>
          <w:rFonts w:eastAsia="Calibri" w:cs="Times New Roman"/>
        </w:rPr>
      </w:pPr>
      <w:r>
        <w:rPr>
          <w:rFonts w:eastAsia="Calibri" w:cs="Times New Roman"/>
        </w:rPr>
        <w:t>T</w:t>
      </w:r>
      <w:r w:rsidRPr="006B2165">
        <w:rPr>
          <w:rFonts w:eastAsia="Calibri" w:cs="Times New Roman"/>
        </w:rPr>
        <w:t xml:space="preserve">he Act and Rules </w:t>
      </w:r>
      <w:r w:rsidR="004808E4">
        <w:rPr>
          <w:rFonts w:eastAsia="Calibri" w:cs="Times New Roman"/>
        </w:rPr>
        <w:t>place a discrete obligation on school b</w:t>
      </w:r>
      <w:r w:rsidRPr="006B2165">
        <w:rPr>
          <w:rFonts w:eastAsia="Calibri" w:cs="Times New Roman"/>
        </w:rPr>
        <w:t xml:space="preserve">oards to consider the circumstances before making a decision. </w:t>
      </w:r>
      <w:r w:rsidR="002806BD">
        <w:rPr>
          <w:rFonts w:eastAsia="Calibri" w:cs="Times New Roman"/>
        </w:rPr>
        <w:t>Under section 81(1)</w:t>
      </w:r>
      <w:r w:rsidR="00D47F1E">
        <w:rPr>
          <w:rFonts w:eastAsia="Calibri" w:cs="Times New Roman"/>
        </w:rPr>
        <w:t xml:space="preserve"> of the Act, the</w:t>
      </w:r>
      <w:r w:rsidR="004808E4">
        <w:rPr>
          <w:rFonts w:eastAsia="Calibri" w:cs="Times New Roman"/>
        </w:rPr>
        <w:t xml:space="preserve"> school</w:t>
      </w:r>
      <w:r w:rsidR="00D47F1E">
        <w:rPr>
          <w:rFonts w:eastAsia="Calibri" w:cs="Times New Roman"/>
        </w:rPr>
        <w:t xml:space="preserve"> board must give consideration to the same statutory</w:t>
      </w:r>
      <w:r w:rsidR="002806BD">
        <w:rPr>
          <w:rFonts w:eastAsia="Calibri" w:cs="Times New Roman"/>
        </w:rPr>
        <w:t xml:space="preserve"> criteria as the principal, </w:t>
      </w:r>
      <w:r w:rsidR="001E7646">
        <w:rPr>
          <w:rFonts w:eastAsia="Calibri" w:cs="Times New Roman"/>
        </w:rPr>
        <w:t xml:space="preserve">and may </w:t>
      </w:r>
      <w:r w:rsidR="002806BD">
        <w:rPr>
          <w:rFonts w:eastAsia="Calibri" w:cs="Times New Roman"/>
        </w:rPr>
        <w:t>proceed to exclude the student</w:t>
      </w:r>
      <w:r w:rsidR="00444678">
        <w:rPr>
          <w:rFonts w:eastAsia="Calibri" w:cs="Times New Roman"/>
        </w:rPr>
        <w:t xml:space="preserve"> only</w:t>
      </w:r>
      <w:r w:rsidR="002806BD">
        <w:rPr>
          <w:rFonts w:eastAsia="Calibri" w:cs="Times New Roman"/>
        </w:rPr>
        <w:t xml:space="preserve"> </w:t>
      </w:r>
      <w:r w:rsidR="004D67B3" w:rsidRPr="004E791A">
        <w:rPr>
          <w:rStyle w:val="Quotationwithinthesentence"/>
        </w:rPr>
        <w:t>‘</w:t>
      </w:r>
      <w:r w:rsidR="002806BD" w:rsidRPr="004E791A">
        <w:rPr>
          <w:rStyle w:val="Quotationwithinthesentence"/>
        </w:rPr>
        <w:t>if the circumstances justify the most serious response</w:t>
      </w:r>
      <w:r w:rsidR="004D67B3" w:rsidRPr="004E791A">
        <w:rPr>
          <w:rStyle w:val="Quotationwithinthesentence"/>
        </w:rPr>
        <w:t>’</w:t>
      </w:r>
      <w:r w:rsidR="002806BD" w:rsidRPr="004E791A">
        <w:rPr>
          <w:rStyle w:val="Quotationwithinthesentence"/>
        </w:rPr>
        <w:t>.</w:t>
      </w:r>
      <w:r w:rsidR="002806BD" w:rsidRPr="004E791A">
        <w:t xml:space="preserve"> </w:t>
      </w:r>
      <w:r w:rsidR="00D47F1E">
        <w:rPr>
          <w:rFonts w:eastAsia="Calibri" w:cs="Times New Roman"/>
        </w:rPr>
        <w:t>Clause 17 of</w:t>
      </w:r>
      <w:r w:rsidR="00D47F1E" w:rsidRPr="00D47F1E">
        <w:rPr>
          <w:rFonts w:eastAsia="Calibri" w:cs="Times New Roman"/>
        </w:rPr>
        <w:t xml:space="preserve"> the </w:t>
      </w:r>
      <w:r w:rsidR="00D47F1E" w:rsidRPr="00D47F1E">
        <w:rPr>
          <w:rFonts w:eastAsia="Calibri" w:cs="Times New Roman"/>
          <w:i/>
        </w:rPr>
        <w:t>Education (Stand-Down, Suspension, Exclusion and Expulsion) Rules 1999</w:t>
      </w:r>
      <w:r w:rsidR="00D47F1E" w:rsidRPr="00D47F1E">
        <w:rPr>
          <w:rFonts w:eastAsia="Calibri" w:cs="Times New Roman"/>
        </w:rPr>
        <w:t xml:space="preserve"> requires </w:t>
      </w:r>
      <w:r w:rsidR="004808E4">
        <w:rPr>
          <w:rFonts w:eastAsia="Calibri" w:cs="Times New Roman"/>
        </w:rPr>
        <w:t xml:space="preserve">school </w:t>
      </w:r>
      <w:r w:rsidR="00D47F1E" w:rsidRPr="00D47F1E">
        <w:rPr>
          <w:rFonts w:eastAsia="Calibri" w:cs="Times New Roman"/>
        </w:rPr>
        <w:t xml:space="preserve">boards to have </w:t>
      </w:r>
      <w:r w:rsidR="00D47F1E" w:rsidRPr="004E791A">
        <w:rPr>
          <w:rStyle w:val="Quotationwithinthesentence"/>
        </w:rPr>
        <w:t>‘due regard’</w:t>
      </w:r>
      <w:r w:rsidR="00D47F1E" w:rsidRPr="00D47F1E">
        <w:rPr>
          <w:rFonts w:eastAsia="Calibri" w:cs="Times New Roman"/>
        </w:rPr>
        <w:t xml:space="preserve"> for each circumstance relevant to the suspension and to consider each statutory option available</w:t>
      </w:r>
      <w:r w:rsidR="00D47F1E">
        <w:rPr>
          <w:rFonts w:eastAsia="Calibri" w:cs="Times New Roman"/>
        </w:rPr>
        <w:t xml:space="preserve">. </w:t>
      </w:r>
      <w:r w:rsidR="00D47F1E" w:rsidRPr="00D47F1E">
        <w:rPr>
          <w:rFonts w:eastAsia="Calibri" w:cs="Times New Roman"/>
        </w:rPr>
        <w:t>Ministry</w:t>
      </w:r>
      <w:r w:rsidR="00D47F1E">
        <w:rPr>
          <w:rFonts w:eastAsia="Calibri" w:cs="Times New Roman"/>
        </w:rPr>
        <w:t xml:space="preserve"> of Education </w:t>
      </w:r>
      <w:r w:rsidR="00444678">
        <w:rPr>
          <w:rFonts w:eastAsia="Calibri" w:cs="Times New Roman"/>
        </w:rPr>
        <w:t>g</w:t>
      </w:r>
      <w:r w:rsidR="00D47F1E">
        <w:rPr>
          <w:rFonts w:eastAsia="Calibri" w:cs="Times New Roman"/>
        </w:rPr>
        <w:t>uidance</w:t>
      </w:r>
      <w:r w:rsidR="007B09EB">
        <w:rPr>
          <w:rFonts w:eastAsia="Calibri" w:cs="Times New Roman"/>
        </w:rPr>
        <w:t xml:space="preserve"> </w:t>
      </w:r>
      <w:r w:rsidR="009E6250">
        <w:rPr>
          <w:rFonts w:eastAsia="Calibri" w:cs="Times New Roman"/>
        </w:rPr>
        <w:t xml:space="preserve">on suspension hearings </w:t>
      </w:r>
      <w:r w:rsidR="007B09EB">
        <w:rPr>
          <w:rFonts w:eastAsia="Calibri" w:cs="Times New Roman"/>
        </w:rPr>
        <w:t>suggest</w:t>
      </w:r>
      <w:r w:rsidR="00444678">
        <w:rPr>
          <w:rFonts w:eastAsia="Calibri" w:cs="Times New Roman"/>
        </w:rPr>
        <w:t>s</w:t>
      </w:r>
      <w:r w:rsidR="007B09EB">
        <w:rPr>
          <w:rFonts w:eastAsia="Calibri" w:cs="Times New Roman"/>
        </w:rPr>
        <w:t xml:space="preserve"> </w:t>
      </w:r>
      <w:r w:rsidR="004808E4">
        <w:rPr>
          <w:rFonts w:eastAsia="Calibri" w:cs="Times New Roman"/>
        </w:rPr>
        <w:t xml:space="preserve">that school </w:t>
      </w:r>
      <w:r w:rsidR="00444678">
        <w:rPr>
          <w:rFonts w:eastAsia="Calibri" w:cs="Times New Roman"/>
        </w:rPr>
        <w:t>b</w:t>
      </w:r>
      <w:r w:rsidR="007B09EB">
        <w:rPr>
          <w:rFonts w:eastAsia="Calibri" w:cs="Times New Roman"/>
        </w:rPr>
        <w:t>oards should</w:t>
      </w:r>
      <w:r w:rsidR="00D47F1E">
        <w:rPr>
          <w:rFonts w:eastAsia="Calibri" w:cs="Times New Roman"/>
        </w:rPr>
        <w:t xml:space="preserve"> </w:t>
      </w:r>
      <w:r w:rsidR="007B09EB">
        <w:rPr>
          <w:rFonts w:eastAsia="Calibri" w:cs="Times New Roman"/>
        </w:rPr>
        <w:t>consider</w:t>
      </w:r>
      <w:r w:rsidR="00D47F1E">
        <w:rPr>
          <w:rFonts w:eastAsia="Calibri" w:cs="Times New Roman"/>
        </w:rPr>
        <w:t>:</w:t>
      </w:r>
    </w:p>
    <w:p w14:paraId="2DA30FE1" w14:textId="54460CE4" w:rsidR="00D47F1E" w:rsidRPr="00D47F1E" w:rsidRDefault="00D47F1E" w:rsidP="00D47F1E">
      <w:pPr>
        <w:pStyle w:val="BodyText"/>
        <w:numPr>
          <w:ilvl w:val="0"/>
          <w:numId w:val="11"/>
        </w:numPr>
        <w:rPr>
          <w:rFonts w:eastAsia="Calibri" w:cs="Times New Roman"/>
        </w:rPr>
      </w:pPr>
      <w:r w:rsidRPr="00D47F1E">
        <w:rPr>
          <w:rFonts w:eastAsia="Calibri" w:cs="Times New Roman"/>
        </w:rPr>
        <w:t>how other students have been affected</w:t>
      </w:r>
      <w:r w:rsidR="001E7646">
        <w:rPr>
          <w:rFonts w:eastAsia="Calibri" w:cs="Times New Roman"/>
        </w:rPr>
        <w:t>;</w:t>
      </w:r>
      <w:r w:rsidRPr="00D47F1E">
        <w:rPr>
          <w:rFonts w:eastAsia="Calibri" w:cs="Times New Roman"/>
        </w:rPr>
        <w:t xml:space="preserve"> </w:t>
      </w:r>
    </w:p>
    <w:p w14:paraId="63A4FBF5" w14:textId="01A9F10E" w:rsidR="00D47F1E" w:rsidRPr="00D47F1E" w:rsidRDefault="00D47F1E" w:rsidP="00D47F1E">
      <w:pPr>
        <w:pStyle w:val="BodyText"/>
        <w:numPr>
          <w:ilvl w:val="0"/>
          <w:numId w:val="11"/>
        </w:numPr>
        <w:rPr>
          <w:rFonts w:eastAsia="Calibri" w:cs="Times New Roman"/>
        </w:rPr>
      </w:pPr>
      <w:r w:rsidRPr="00D47F1E">
        <w:rPr>
          <w:rFonts w:eastAsia="Calibri" w:cs="Times New Roman"/>
        </w:rPr>
        <w:t>whether leniency would be appropriate</w:t>
      </w:r>
      <w:r w:rsidR="001E7646">
        <w:rPr>
          <w:rFonts w:eastAsia="Calibri" w:cs="Times New Roman"/>
        </w:rPr>
        <w:t>;</w:t>
      </w:r>
      <w:r w:rsidRPr="00D47F1E">
        <w:rPr>
          <w:rFonts w:eastAsia="Calibri" w:cs="Times New Roman"/>
        </w:rPr>
        <w:t xml:space="preserve"> </w:t>
      </w:r>
    </w:p>
    <w:p w14:paraId="4B62E24F" w14:textId="77777777" w:rsidR="00D47F1E" w:rsidRPr="00D47F1E" w:rsidRDefault="00D47F1E" w:rsidP="00D47F1E">
      <w:pPr>
        <w:pStyle w:val="BodyText"/>
        <w:numPr>
          <w:ilvl w:val="0"/>
          <w:numId w:val="11"/>
        </w:numPr>
        <w:rPr>
          <w:rFonts w:eastAsia="Calibri" w:cs="Times New Roman"/>
        </w:rPr>
      </w:pPr>
      <w:r w:rsidRPr="00D47F1E">
        <w:rPr>
          <w:rFonts w:eastAsia="Calibri" w:cs="Times New Roman"/>
        </w:rPr>
        <w:t xml:space="preserve">natural justice; and </w:t>
      </w:r>
    </w:p>
    <w:p w14:paraId="2B90D7A7" w14:textId="77777777" w:rsidR="00D47F1E" w:rsidRDefault="00D47F1E" w:rsidP="00D47F1E">
      <w:pPr>
        <w:pStyle w:val="BodyText"/>
        <w:numPr>
          <w:ilvl w:val="0"/>
          <w:numId w:val="11"/>
        </w:numPr>
        <w:rPr>
          <w:rFonts w:eastAsia="Calibri" w:cs="Times New Roman"/>
        </w:rPr>
      </w:pPr>
      <w:r w:rsidRPr="00D47F1E">
        <w:rPr>
          <w:rFonts w:eastAsia="Calibri" w:cs="Times New Roman"/>
        </w:rPr>
        <w:t>a range of responses for cases of varying degrees of seriousness.</w:t>
      </w:r>
      <w:r w:rsidRPr="00D47F1E">
        <w:rPr>
          <w:rFonts w:eastAsia="Calibri" w:cs="Times New Roman"/>
          <w:vertAlign w:val="superscript"/>
        </w:rPr>
        <w:footnoteReference w:id="7"/>
      </w:r>
    </w:p>
    <w:p w14:paraId="4FB37B55" w14:textId="4B8EC4D3" w:rsidR="006B2165" w:rsidRDefault="009E6250" w:rsidP="00002C56">
      <w:pPr>
        <w:pStyle w:val="BodyText"/>
        <w:rPr>
          <w:rFonts w:eastAsia="Calibri" w:cs="Times New Roman"/>
        </w:rPr>
      </w:pPr>
      <w:r>
        <w:rPr>
          <w:rFonts w:eastAsia="Calibri" w:cs="Times New Roman"/>
        </w:rPr>
        <w:t xml:space="preserve">Ministry </w:t>
      </w:r>
      <w:r w:rsidR="00D47F1E" w:rsidRPr="00D47F1E">
        <w:rPr>
          <w:rFonts w:eastAsia="Calibri" w:cs="Times New Roman"/>
        </w:rPr>
        <w:t xml:space="preserve">guidance </w:t>
      </w:r>
      <w:r>
        <w:rPr>
          <w:rFonts w:eastAsia="Calibri" w:cs="Times New Roman"/>
        </w:rPr>
        <w:t>on suspension hearings confirm</w:t>
      </w:r>
      <w:r w:rsidR="003816E8">
        <w:rPr>
          <w:rFonts w:eastAsia="Calibri" w:cs="Times New Roman"/>
        </w:rPr>
        <w:t>s</w:t>
      </w:r>
      <w:r w:rsidR="00D47F1E" w:rsidRPr="00D47F1E">
        <w:rPr>
          <w:rFonts w:eastAsia="Calibri" w:cs="Times New Roman"/>
        </w:rPr>
        <w:t xml:space="preserve"> that school boards have an independent role from the principal</w:t>
      </w:r>
      <w:r w:rsidR="006B2165">
        <w:rPr>
          <w:rFonts w:eastAsia="Calibri" w:cs="Times New Roman"/>
        </w:rPr>
        <w:t xml:space="preserve">. </w:t>
      </w:r>
      <w:r w:rsidR="00061EE3">
        <w:rPr>
          <w:rFonts w:eastAsia="Calibri" w:cs="Times New Roman"/>
        </w:rPr>
        <w:t>B</w:t>
      </w:r>
      <w:r w:rsidR="00674454" w:rsidRPr="00674454">
        <w:rPr>
          <w:rFonts w:eastAsia="Calibri" w:cs="Times New Roman"/>
        </w:rPr>
        <w:t>oards are required to</w:t>
      </w:r>
      <w:r w:rsidR="00A45E94">
        <w:rPr>
          <w:rFonts w:eastAsia="Calibri" w:cs="Times New Roman"/>
        </w:rPr>
        <w:t xml:space="preserve"> exercise their</w:t>
      </w:r>
      <w:r w:rsidR="00674454" w:rsidRPr="00674454">
        <w:rPr>
          <w:rFonts w:eastAsia="Calibri" w:cs="Times New Roman"/>
        </w:rPr>
        <w:t xml:space="preserve"> judgment in reviewing </w:t>
      </w:r>
      <w:r w:rsidR="00444678">
        <w:rPr>
          <w:rFonts w:eastAsia="Calibri" w:cs="Times New Roman"/>
        </w:rPr>
        <w:t xml:space="preserve">a </w:t>
      </w:r>
      <w:r w:rsidR="00674454" w:rsidRPr="00674454">
        <w:rPr>
          <w:rFonts w:eastAsia="Calibri" w:cs="Times New Roman"/>
        </w:rPr>
        <w:t>principal’s earlier decision to suspend</w:t>
      </w:r>
      <w:r w:rsidR="00674454">
        <w:rPr>
          <w:rFonts w:eastAsia="Calibri" w:cs="Times New Roman"/>
        </w:rPr>
        <w:t xml:space="preserve"> the</w:t>
      </w:r>
      <w:r w:rsidR="00061EE3">
        <w:rPr>
          <w:rFonts w:eastAsia="Calibri" w:cs="Times New Roman"/>
        </w:rPr>
        <w:t xml:space="preserve"> student</w:t>
      </w:r>
      <w:r w:rsidR="00674454">
        <w:rPr>
          <w:rFonts w:eastAsia="Calibri" w:cs="Times New Roman"/>
        </w:rPr>
        <w:t xml:space="preserve">. </w:t>
      </w:r>
      <w:r w:rsidR="00F402E0">
        <w:rPr>
          <w:rFonts w:eastAsia="Calibri" w:cs="Times New Roman"/>
        </w:rPr>
        <w:t>This require</w:t>
      </w:r>
      <w:r w:rsidR="00444678">
        <w:rPr>
          <w:rFonts w:eastAsia="Calibri" w:cs="Times New Roman"/>
        </w:rPr>
        <w:t>s</w:t>
      </w:r>
      <w:r w:rsidR="00F402E0">
        <w:rPr>
          <w:rFonts w:eastAsia="Calibri" w:cs="Times New Roman"/>
        </w:rPr>
        <w:t xml:space="preserve"> consideration of all the rele</w:t>
      </w:r>
      <w:r w:rsidR="00D47F1E">
        <w:rPr>
          <w:rFonts w:eastAsia="Calibri" w:cs="Times New Roman"/>
        </w:rPr>
        <w:t xml:space="preserve">vant circumstances, and </w:t>
      </w:r>
      <w:r w:rsidR="00061EE3">
        <w:rPr>
          <w:rFonts w:eastAsia="Calibri" w:cs="Times New Roman"/>
        </w:rPr>
        <w:t>the correct application of the</w:t>
      </w:r>
      <w:r w:rsidR="00D47F1E">
        <w:rPr>
          <w:rFonts w:eastAsia="Calibri" w:cs="Times New Roman"/>
        </w:rPr>
        <w:t xml:space="preserve"> </w:t>
      </w:r>
      <w:r w:rsidR="00061EE3">
        <w:rPr>
          <w:rFonts w:eastAsia="Calibri" w:cs="Times New Roman"/>
        </w:rPr>
        <w:t xml:space="preserve">relevant </w:t>
      </w:r>
      <w:r w:rsidR="00D47F1E">
        <w:rPr>
          <w:rFonts w:eastAsia="Calibri" w:cs="Times New Roman"/>
        </w:rPr>
        <w:t xml:space="preserve">statutory </w:t>
      </w:r>
      <w:r w:rsidR="00061EE3">
        <w:rPr>
          <w:rFonts w:eastAsia="Calibri" w:cs="Times New Roman"/>
        </w:rPr>
        <w:t>test</w:t>
      </w:r>
      <w:r w:rsidR="00D47F1E">
        <w:rPr>
          <w:rFonts w:eastAsia="Calibri" w:cs="Times New Roman"/>
        </w:rPr>
        <w:t xml:space="preserve">. </w:t>
      </w:r>
    </w:p>
    <w:p w14:paraId="5D8E2B1D" w14:textId="04D1A23B" w:rsidR="00061EE3" w:rsidRDefault="00061EE3" w:rsidP="00F112F5">
      <w:pPr>
        <w:pStyle w:val="Heading1"/>
        <w:spacing w:after="240"/>
      </w:pPr>
      <w:r w:rsidRPr="00061EE3">
        <w:t>Investigations</w:t>
      </w:r>
    </w:p>
    <w:p w14:paraId="7949620F" w14:textId="31DE8636" w:rsidR="00F112F5" w:rsidRDefault="00F112F5" w:rsidP="00F112F5">
      <w:pPr>
        <w:pStyle w:val="Heading2"/>
        <w:spacing w:before="240"/>
      </w:pPr>
      <w:r>
        <w:t>Record</w:t>
      </w:r>
      <w:r w:rsidR="00444678">
        <w:t>-</w:t>
      </w:r>
      <w:r>
        <w:t>keeping</w:t>
      </w:r>
    </w:p>
    <w:p w14:paraId="3E06655C" w14:textId="40CF9E7B" w:rsidR="00F112F5" w:rsidRPr="00F112F5" w:rsidRDefault="00723D66" w:rsidP="00F112F5">
      <w:pPr>
        <w:pStyle w:val="BodyText"/>
      </w:pPr>
      <w:r>
        <w:t xml:space="preserve">All </w:t>
      </w:r>
      <w:r w:rsidR="00AC1AEB">
        <w:t xml:space="preserve">of the </w:t>
      </w:r>
      <w:r>
        <w:t>complaints</w:t>
      </w:r>
      <w:r w:rsidR="00F112F5">
        <w:t xml:space="preserve"> </w:t>
      </w:r>
      <w:r w:rsidR="00AC1AEB">
        <w:t xml:space="preserve">investigated </w:t>
      </w:r>
      <w:r w:rsidR="00F112F5">
        <w:t>raised significant issues around record</w:t>
      </w:r>
      <w:r w:rsidR="00444678">
        <w:t>-</w:t>
      </w:r>
      <w:r w:rsidR="00F112F5">
        <w:t xml:space="preserve">keeping. </w:t>
      </w:r>
    </w:p>
    <w:p w14:paraId="60624982" w14:textId="5C493CF2" w:rsidR="00002C56" w:rsidRPr="00002C56" w:rsidRDefault="00002C56" w:rsidP="00002C56">
      <w:pPr>
        <w:pStyle w:val="BodyText"/>
      </w:pPr>
      <w:r w:rsidRPr="00002C56">
        <w:t>The record-keeping ob</w:t>
      </w:r>
      <w:r w:rsidR="006535F1">
        <w:t>ligations on school boards stem from the requirement</w:t>
      </w:r>
      <w:r w:rsidRPr="00002C56">
        <w:t xml:space="preserve"> under section 17 of the </w:t>
      </w:r>
      <w:r w:rsidRPr="005372D0">
        <w:rPr>
          <w:rStyle w:val="Italics"/>
        </w:rPr>
        <w:t>Public Records Act 2005</w:t>
      </w:r>
      <w:r w:rsidRPr="00002C56">
        <w:t xml:space="preserve"> to make and maintain full and accurate records. In the context of decision</w:t>
      </w:r>
      <w:r w:rsidR="00F112F5">
        <w:t>s</w:t>
      </w:r>
      <w:r w:rsidRPr="00002C56">
        <w:t xml:space="preserve"> about school discipline that impact on the rights of student to access education, it is vital that good records are kept, in the interests of accountability and transparency. The Ministry of Education guidance highlights this obligation, stating:</w:t>
      </w:r>
      <w:r w:rsidRPr="00002C56">
        <w:rPr>
          <w:vertAlign w:val="superscript"/>
        </w:rPr>
        <w:footnoteReference w:id="8"/>
      </w:r>
    </w:p>
    <w:p w14:paraId="32D6B0D2" w14:textId="5A504241" w:rsidR="00061EE3" w:rsidRPr="00061EE3" w:rsidRDefault="00002C56" w:rsidP="004E791A">
      <w:pPr>
        <w:pStyle w:val="Quotationseparateparagraph"/>
      </w:pPr>
      <w:r w:rsidRPr="00002C56">
        <w:t>You must record your decision, and the reasons for it, in writing. You must explicitly consider each option open to you. Your records need to be complete. There should be enough information in the report to show that you turned your mind to the criteria you had to apply. Document why you made the decision and how you arrived at the decision</w:t>
      </w:r>
      <w:r w:rsidR="004D67B3">
        <w:t>.</w:t>
      </w:r>
    </w:p>
    <w:p w14:paraId="365B6299" w14:textId="70F45F5F" w:rsidR="00002C56" w:rsidRPr="00002C56" w:rsidRDefault="00334979" w:rsidP="00002C56">
      <w:pPr>
        <w:pStyle w:val="Heading2"/>
        <w:spacing w:before="240"/>
      </w:pPr>
      <w:r>
        <w:t>I</w:t>
      </w:r>
      <w:r w:rsidR="00AC1AEB">
        <w:t>nvestigation</w:t>
      </w:r>
      <w:r>
        <w:t xml:space="preserve"> A</w:t>
      </w:r>
    </w:p>
    <w:p w14:paraId="6AE25E32" w14:textId="19D9AF56" w:rsidR="00002C56" w:rsidRPr="00002C56" w:rsidRDefault="00AC1AEB" w:rsidP="00002C56">
      <w:pPr>
        <w:pStyle w:val="BodyText"/>
      </w:pPr>
      <w:r>
        <w:t>Investigation</w:t>
      </w:r>
      <w:r w:rsidR="00002C56" w:rsidRPr="00002C56">
        <w:t xml:space="preserve"> </w:t>
      </w:r>
      <w:r w:rsidR="00A13B4E">
        <w:t>A concerned the decision of the Board</w:t>
      </w:r>
      <w:r w:rsidR="00002C56" w:rsidRPr="00002C56">
        <w:t xml:space="preserve"> to exclude a student from </w:t>
      </w:r>
      <w:r w:rsidR="009E6250">
        <w:t>the</w:t>
      </w:r>
      <w:r w:rsidR="006535F1">
        <w:t xml:space="preserve"> </w:t>
      </w:r>
      <w:r w:rsidR="003C2F6C">
        <w:t>c</w:t>
      </w:r>
      <w:r w:rsidR="006535F1">
        <w:t>ollege, and</w:t>
      </w:r>
      <w:r w:rsidR="00A13B4E">
        <w:t xml:space="preserve"> the associated record</w:t>
      </w:r>
      <w:r w:rsidR="00444678">
        <w:t>-</w:t>
      </w:r>
      <w:r w:rsidR="00A13B4E">
        <w:t>keeping</w:t>
      </w:r>
      <w:r w:rsidR="00002C56" w:rsidRPr="00002C56">
        <w:t xml:space="preserve">. </w:t>
      </w:r>
    </w:p>
    <w:p w14:paraId="41A2DBBB" w14:textId="0C43364D" w:rsidR="00227CD2" w:rsidRPr="00227CD2" w:rsidRDefault="00227CD2" w:rsidP="00227CD2">
      <w:pPr>
        <w:pStyle w:val="Heading3"/>
      </w:pPr>
      <w:r w:rsidRPr="00227CD2">
        <w:t>Record</w:t>
      </w:r>
      <w:r w:rsidR="00FF3823">
        <w:t>-</w:t>
      </w:r>
      <w:r w:rsidRPr="00227CD2">
        <w:t xml:space="preserve">keeping </w:t>
      </w:r>
    </w:p>
    <w:p w14:paraId="745480BE" w14:textId="4F283FE5" w:rsidR="002C0D91" w:rsidRDefault="005D686B" w:rsidP="002C0D91">
      <w:pPr>
        <w:rPr>
          <w:rFonts w:eastAsia="Calibri" w:cs="Times New Roman"/>
        </w:rPr>
      </w:pPr>
      <w:r>
        <w:rPr>
          <w:rFonts w:eastAsia="Calibri" w:cs="Times New Roman"/>
        </w:rPr>
        <w:t>The</w:t>
      </w:r>
      <w:r w:rsidR="002C0D91" w:rsidRPr="002C0D91">
        <w:rPr>
          <w:rFonts w:eastAsia="Calibri" w:cs="Times New Roman"/>
        </w:rPr>
        <w:t xml:space="preserve"> record </w:t>
      </w:r>
      <w:r w:rsidR="002C0D91">
        <w:rPr>
          <w:rFonts w:eastAsia="Calibri" w:cs="Times New Roman"/>
        </w:rPr>
        <w:t>of the process leading up to the student</w:t>
      </w:r>
      <w:r w:rsidR="002C0D91" w:rsidRPr="002C0D91">
        <w:rPr>
          <w:rFonts w:eastAsia="Calibri" w:cs="Times New Roman"/>
        </w:rPr>
        <w:t>’s exclusion con</w:t>
      </w:r>
      <w:r w:rsidR="00384714">
        <w:rPr>
          <w:rFonts w:eastAsia="Calibri" w:cs="Times New Roman"/>
        </w:rPr>
        <w:t>sisted</w:t>
      </w:r>
      <w:r w:rsidR="002C0D91" w:rsidRPr="002C0D91">
        <w:rPr>
          <w:rFonts w:eastAsia="Calibri" w:cs="Times New Roman"/>
        </w:rPr>
        <w:t xml:space="preserve"> of</w:t>
      </w:r>
      <w:r w:rsidR="002C0D91">
        <w:rPr>
          <w:rFonts w:eastAsia="Calibri" w:cs="Times New Roman"/>
        </w:rPr>
        <w:t xml:space="preserve"> three incident reports, during March and </w:t>
      </w:r>
      <w:r w:rsidR="002C0D91" w:rsidRPr="002C0D91">
        <w:rPr>
          <w:rFonts w:eastAsia="Calibri" w:cs="Times New Roman"/>
        </w:rPr>
        <w:t>July</w:t>
      </w:r>
      <w:r w:rsidR="002C0D91">
        <w:rPr>
          <w:rFonts w:eastAsia="Calibri" w:cs="Times New Roman"/>
        </w:rPr>
        <w:t xml:space="preserve"> 2020</w:t>
      </w:r>
      <w:r w:rsidR="002C0D91" w:rsidRPr="002C0D91">
        <w:rPr>
          <w:rFonts w:eastAsia="Calibri" w:cs="Times New Roman"/>
        </w:rPr>
        <w:t>.</w:t>
      </w:r>
      <w:r w:rsidR="002C0D91">
        <w:rPr>
          <w:rFonts w:eastAsia="Calibri" w:cs="Times New Roman"/>
        </w:rPr>
        <w:t xml:space="preserve"> In March, the student was issued a warning and</w:t>
      </w:r>
      <w:r w:rsidR="002C0D91" w:rsidRPr="002C0D91">
        <w:rPr>
          <w:rFonts w:eastAsia="Calibri" w:cs="Times New Roman"/>
        </w:rPr>
        <w:t xml:space="preserve"> </w:t>
      </w:r>
      <w:r w:rsidR="002C0D91">
        <w:rPr>
          <w:rFonts w:eastAsia="Calibri" w:cs="Times New Roman"/>
        </w:rPr>
        <w:t xml:space="preserve">the need for </w:t>
      </w:r>
      <w:r w:rsidR="00F024AF">
        <w:rPr>
          <w:rFonts w:eastAsia="Calibri" w:cs="Times New Roman"/>
        </w:rPr>
        <w:t xml:space="preserve">a </w:t>
      </w:r>
      <w:r w:rsidR="002C0D91">
        <w:rPr>
          <w:rFonts w:eastAsia="Calibri" w:cs="Times New Roman"/>
        </w:rPr>
        <w:t>behaviour support plan was noted, but not followed-up</w:t>
      </w:r>
      <w:r w:rsidR="00627B34">
        <w:rPr>
          <w:rFonts w:eastAsia="Calibri" w:cs="Times New Roman"/>
        </w:rPr>
        <w:t xml:space="preserve"> by the </w:t>
      </w:r>
      <w:r w:rsidR="003C2F6C">
        <w:rPr>
          <w:rFonts w:eastAsia="Calibri" w:cs="Times New Roman"/>
        </w:rPr>
        <w:t>c</w:t>
      </w:r>
      <w:r w:rsidR="00627B34">
        <w:rPr>
          <w:rFonts w:eastAsia="Calibri" w:cs="Times New Roman"/>
        </w:rPr>
        <w:t>ollege</w:t>
      </w:r>
      <w:r w:rsidR="002C0D91">
        <w:rPr>
          <w:rFonts w:eastAsia="Calibri" w:cs="Times New Roman"/>
        </w:rPr>
        <w:t xml:space="preserve">. </w:t>
      </w:r>
      <w:r w:rsidR="00C075DF" w:rsidRPr="00C075DF">
        <w:rPr>
          <w:rFonts w:eastAsia="Calibri" w:cs="Times New Roman"/>
        </w:rPr>
        <w:t>Otherwise, the student’s pastoral record briefly recorded a</w:t>
      </w:r>
      <w:r w:rsidR="00627B34">
        <w:rPr>
          <w:rFonts w:eastAsia="Calibri" w:cs="Times New Roman"/>
        </w:rPr>
        <w:t>round a</w:t>
      </w:r>
      <w:r w:rsidR="00C075DF" w:rsidRPr="00C075DF">
        <w:rPr>
          <w:rFonts w:eastAsia="Calibri" w:cs="Times New Roman"/>
        </w:rPr>
        <w:t xml:space="preserve"> dozen disciplinary </w:t>
      </w:r>
      <w:r w:rsidR="00A52B9B">
        <w:rPr>
          <w:rFonts w:eastAsia="Calibri" w:cs="Times New Roman"/>
        </w:rPr>
        <w:t xml:space="preserve">type </w:t>
      </w:r>
      <w:r w:rsidR="00C075DF" w:rsidRPr="00C075DF">
        <w:rPr>
          <w:rFonts w:eastAsia="Calibri" w:cs="Times New Roman"/>
        </w:rPr>
        <w:t>inciden</w:t>
      </w:r>
      <w:r w:rsidR="00C075DF">
        <w:rPr>
          <w:rFonts w:eastAsia="Calibri" w:cs="Times New Roman"/>
        </w:rPr>
        <w:t>ts</w:t>
      </w:r>
      <w:r w:rsidR="00E74ACC">
        <w:rPr>
          <w:rFonts w:eastAsia="Calibri" w:cs="Times New Roman"/>
        </w:rPr>
        <w:t>,</w:t>
      </w:r>
      <w:r w:rsidR="00991F64">
        <w:rPr>
          <w:rFonts w:eastAsia="Calibri" w:cs="Times New Roman"/>
        </w:rPr>
        <w:t xml:space="preserve"> including three particular incidents involving conduct towards other students. </w:t>
      </w:r>
      <w:r w:rsidR="002C0D91">
        <w:rPr>
          <w:rFonts w:eastAsia="Calibri" w:cs="Times New Roman"/>
        </w:rPr>
        <w:t xml:space="preserve">The July 2020 incident report triggered the </w:t>
      </w:r>
      <w:r w:rsidR="00C075DF">
        <w:rPr>
          <w:rFonts w:eastAsia="Calibri" w:cs="Times New Roman"/>
        </w:rPr>
        <w:t xml:space="preserve">student’s </w:t>
      </w:r>
      <w:r w:rsidR="002C0D91">
        <w:rPr>
          <w:rFonts w:eastAsia="Calibri" w:cs="Times New Roman"/>
        </w:rPr>
        <w:t>suspension</w:t>
      </w:r>
      <w:r w:rsidR="00C075DF">
        <w:rPr>
          <w:rFonts w:eastAsia="Calibri" w:cs="Times New Roman"/>
        </w:rPr>
        <w:t xml:space="preserve"> on the basis of </w:t>
      </w:r>
      <w:r w:rsidR="004D67B3" w:rsidRPr="004E791A">
        <w:rPr>
          <w:rStyle w:val="Quotationwithinthesentence"/>
        </w:rPr>
        <w:t>‘</w:t>
      </w:r>
      <w:r w:rsidR="00C075DF" w:rsidRPr="004E791A">
        <w:rPr>
          <w:rStyle w:val="Quotationwithinthesentence"/>
        </w:rPr>
        <w:t>continual disobedience</w:t>
      </w:r>
      <w:r w:rsidR="004D67B3" w:rsidRPr="004E791A">
        <w:rPr>
          <w:rStyle w:val="Quotationwithinthesentence"/>
        </w:rPr>
        <w:t>’</w:t>
      </w:r>
      <w:r w:rsidR="002C0D91">
        <w:rPr>
          <w:rFonts w:eastAsia="Calibri" w:cs="Times New Roman"/>
        </w:rPr>
        <w:t xml:space="preserve">. </w:t>
      </w:r>
      <w:r w:rsidR="00C075DF">
        <w:rPr>
          <w:rFonts w:eastAsia="Calibri" w:cs="Times New Roman"/>
        </w:rPr>
        <w:t xml:space="preserve">However, the </w:t>
      </w:r>
      <w:r>
        <w:rPr>
          <w:rFonts w:eastAsia="Calibri" w:cs="Times New Roman"/>
        </w:rPr>
        <w:t xml:space="preserve">Board went on to exclude the student on the basis of </w:t>
      </w:r>
      <w:r w:rsidR="004D67B3" w:rsidRPr="004E791A">
        <w:rPr>
          <w:rStyle w:val="Quotationwithinthesentence"/>
        </w:rPr>
        <w:t>‘</w:t>
      </w:r>
      <w:r w:rsidRPr="004E791A">
        <w:rPr>
          <w:rStyle w:val="Quotationwithinthesentence"/>
        </w:rPr>
        <w:t>gross misconduct</w:t>
      </w:r>
      <w:r w:rsidR="004D67B3" w:rsidRPr="004E791A">
        <w:rPr>
          <w:rStyle w:val="Quotationwithinthesentence"/>
        </w:rPr>
        <w:t>’</w:t>
      </w:r>
      <w:r>
        <w:rPr>
          <w:rFonts w:eastAsia="Calibri" w:cs="Times New Roman"/>
        </w:rPr>
        <w:t>.</w:t>
      </w:r>
    </w:p>
    <w:p w14:paraId="0F0AF206" w14:textId="7BA01463" w:rsidR="00E013E5" w:rsidRDefault="005D686B" w:rsidP="005372D0">
      <w:pPr>
        <w:rPr>
          <w:rFonts w:eastAsia="Calibri" w:cs="Times New Roman"/>
        </w:rPr>
      </w:pPr>
      <w:r>
        <w:rPr>
          <w:rFonts w:eastAsia="Calibri" w:cs="Times New Roman"/>
        </w:rPr>
        <w:t xml:space="preserve">The Ombudsman identified significant gaps in the information about the student’s alleged </w:t>
      </w:r>
      <w:r w:rsidRPr="005D686B">
        <w:rPr>
          <w:rFonts w:eastAsia="Calibri" w:cs="Times New Roman"/>
        </w:rPr>
        <w:t xml:space="preserve">misbehaviour </w:t>
      </w:r>
      <w:r w:rsidR="00C23B97">
        <w:rPr>
          <w:rFonts w:eastAsia="Calibri" w:cs="Times New Roman"/>
        </w:rPr>
        <w:t xml:space="preserve">in the documentation provided by the Board. </w:t>
      </w:r>
      <w:r w:rsidR="00663F4C">
        <w:rPr>
          <w:rFonts w:eastAsia="Calibri" w:cs="Times New Roman"/>
        </w:rPr>
        <w:t>T</w:t>
      </w:r>
      <w:r w:rsidR="007603AF">
        <w:rPr>
          <w:rFonts w:eastAsia="Calibri" w:cs="Times New Roman"/>
        </w:rPr>
        <w:t>he</w:t>
      </w:r>
      <w:r w:rsidR="00A16974">
        <w:rPr>
          <w:rFonts w:eastAsia="Calibri" w:cs="Times New Roman"/>
        </w:rPr>
        <w:t xml:space="preserve"> </w:t>
      </w:r>
      <w:r>
        <w:rPr>
          <w:rFonts w:eastAsia="Calibri" w:cs="Times New Roman"/>
        </w:rPr>
        <w:t xml:space="preserve">decision </w:t>
      </w:r>
      <w:r w:rsidR="00384714">
        <w:rPr>
          <w:rFonts w:eastAsia="Calibri" w:cs="Times New Roman"/>
        </w:rPr>
        <w:t xml:space="preserve">to </w:t>
      </w:r>
      <w:r w:rsidR="00C632C7">
        <w:rPr>
          <w:rFonts w:eastAsia="Calibri" w:cs="Times New Roman"/>
        </w:rPr>
        <w:t>exclude</w:t>
      </w:r>
      <w:r>
        <w:rPr>
          <w:rFonts w:eastAsia="Calibri" w:cs="Times New Roman"/>
        </w:rPr>
        <w:t xml:space="preserve"> the student on a different ground than which </w:t>
      </w:r>
      <w:r w:rsidR="00F024AF">
        <w:rPr>
          <w:rFonts w:eastAsia="Calibri" w:cs="Times New Roman"/>
        </w:rPr>
        <w:t xml:space="preserve">they </w:t>
      </w:r>
      <w:r>
        <w:rPr>
          <w:rFonts w:eastAsia="Calibri" w:cs="Times New Roman"/>
        </w:rPr>
        <w:t>had been su</w:t>
      </w:r>
      <w:r w:rsidR="00663F4C">
        <w:rPr>
          <w:rFonts w:eastAsia="Calibri" w:cs="Times New Roman"/>
        </w:rPr>
        <w:t>spended was not explained</w:t>
      </w:r>
      <w:r>
        <w:rPr>
          <w:rFonts w:eastAsia="Calibri" w:cs="Times New Roman"/>
        </w:rPr>
        <w:t xml:space="preserve">. </w:t>
      </w:r>
      <w:r w:rsidR="009E6250">
        <w:rPr>
          <w:rFonts w:eastAsia="Calibri" w:cs="Times New Roman"/>
        </w:rPr>
        <w:t>(</w:t>
      </w:r>
      <w:r w:rsidR="009E6250" w:rsidRPr="009E6250">
        <w:rPr>
          <w:rFonts w:eastAsia="Calibri" w:cs="Times New Roman"/>
        </w:rPr>
        <w:t xml:space="preserve">The Ombudsman </w:t>
      </w:r>
      <w:r w:rsidR="00050DF5">
        <w:rPr>
          <w:rFonts w:eastAsia="Calibri" w:cs="Times New Roman"/>
        </w:rPr>
        <w:t xml:space="preserve">therefore </w:t>
      </w:r>
      <w:r w:rsidR="009E6250" w:rsidRPr="009E6250">
        <w:rPr>
          <w:rFonts w:eastAsia="Calibri" w:cs="Times New Roman"/>
        </w:rPr>
        <w:t xml:space="preserve">surmised that the Board had </w:t>
      </w:r>
      <w:r w:rsidR="008403F0">
        <w:rPr>
          <w:rFonts w:eastAsia="Calibri" w:cs="Times New Roman"/>
        </w:rPr>
        <w:t xml:space="preserve">likely </w:t>
      </w:r>
      <w:r w:rsidR="009E6250" w:rsidRPr="009E6250">
        <w:rPr>
          <w:rFonts w:eastAsia="Calibri" w:cs="Times New Roman"/>
        </w:rPr>
        <w:t>intended to expel the student on the basis of continual disobedience.</w:t>
      </w:r>
      <w:r w:rsidR="009E6250">
        <w:rPr>
          <w:rFonts w:eastAsia="Calibri" w:cs="Times New Roman"/>
        </w:rPr>
        <w:t xml:space="preserve">) </w:t>
      </w:r>
      <w:r>
        <w:rPr>
          <w:rFonts w:eastAsia="Calibri" w:cs="Times New Roman"/>
        </w:rPr>
        <w:t>There was</w:t>
      </w:r>
      <w:r w:rsidRPr="005D686B">
        <w:rPr>
          <w:rFonts w:eastAsia="Calibri" w:cs="Times New Roman"/>
        </w:rPr>
        <w:t xml:space="preserve"> no record of how the Board considered each of the circumstances relevant to the</w:t>
      </w:r>
      <w:r w:rsidR="00280BA8">
        <w:rPr>
          <w:rFonts w:eastAsia="Calibri" w:cs="Times New Roman"/>
        </w:rPr>
        <w:t xml:space="preserve"> suspension, or the</w:t>
      </w:r>
      <w:r w:rsidRPr="005D686B">
        <w:rPr>
          <w:rFonts w:eastAsia="Calibri" w:cs="Times New Roman"/>
        </w:rPr>
        <w:t xml:space="preserve"> statutory options available to it. </w:t>
      </w:r>
      <w:r w:rsidR="00C35808">
        <w:rPr>
          <w:rFonts w:eastAsia="Calibri" w:cs="Times New Roman"/>
        </w:rPr>
        <w:t>For example, t</w:t>
      </w:r>
      <w:r w:rsidR="00C35808" w:rsidRPr="00C35808">
        <w:rPr>
          <w:rFonts w:eastAsia="Calibri" w:cs="Times New Roman"/>
        </w:rPr>
        <w:t xml:space="preserve">he Ombudsman considered that the issues regarding the student’s support needs were </w:t>
      </w:r>
      <w:r w:rsidR="00C35808" w:rsidRPr="00C35808">
        <w:rPr>
          <w:rFonts w:eastAsia="Calibri" w:cs="Times New Roman"/>
          <w:i/>
        </w:rPr>
        <w:t>‘circumstances relevant to suspension’,</w:t>
      </w:r>
      <w:r w:rsidR="00C35808" w:rsidRPr="00C35808">
        <w:rPr>
          <w:rFonts w:eastAsia="Calibri" w:cs="Times New Roman"/>
        </w:rPr>
        <w:t xml:space="preserve"> for the purposes of clause 17 of the Education Rules. </w:t>
      </w:r>
      <w:r w:rsidR="00C35808">
        <w:rPr>
          <w:rFonts w:eastAsia="Calibri" w:cs="Times New Roman"/>
        </w:rPr>
        <w:t>Although some information was available to the Board</w:t>
      </w:r>
      <w:r w:rsidR="009E6250">
        <w:rPr>
          <w:rFonts w:eastAsia="Calibri" w:cs="Times New Roman"/>
        </w:rPr>
        <w:t xml:space="preserve"> on this point</w:t>
      </w:r>
      <w:r w:rsidR="00C35808">
        <w:rPr>
          <w:rFonts w:eastAsia="Calibri" w:cs="Times New Roman"/>
        </w:rPr>
        <w:t>, t</w:t>
      </w:r>
      <w:r w:rsidR="00C35808" w:rsidRPr="00C35808">
        <w:rPr>
          <w:rFonts w:eastAsia="Calibri" w:cs="Times New Roman"/>
        </w:rPr>
        <w:t>here is no record of whether the Board took the information into account.</w:t>
      </w:r>
      <w:r w:rsidR="007D2CDA">
        <w:rPr>
          <w:rStyle w:val="FootnoteReference"/>
          <w:rFonts w:eastAsia="Calibri" w:cs="Times New Roman"/>
        </w:rPr>
        <w:footnoteReference w:id="9"/>
      </w:r>
      <w:r w:rsidR="00C35808" w:rsidRPr="00C35808">
        <w:rPr>
          <w:rFonts w:eastAsia="Calibri" w:cs="Times New Roman"/>
        </w:rPr>
        <w:t xml:space="preserve"> </w:t>
      </w:r>
    </w:p>
    <w:p w14:paraId="70DE1DA5" w14:textId="5628233C" w:rsidR="009E6250" w:rsidRDefault="00280BA8" w:rsidP="005372D0">
      <w:pPr>
        <w:rPr>
          <w:rFonts w:eastAsia="Calibri" w:cs="Times New Roman"/>
        </w:rPr>
      </w:pPr>
      <w:r>
        <w:rPr>
          <w:rFonts w:eastAsia="Calibri" w:cs="Times New Roman"/>
        </w:rPr>
        <w:t xml:space="preserve">Given the </w:t>
      </w:r>
      <w:r w:rsidR="00E013E5">
        <w:rPr>
          <w:rFonts w:eastAsia="Calibri" w:cs="Times New Roman"/>
        </w:rPr>
        <w:t>standard of</w:t>
      </w:r>
      <w:r>
        <w:rPr>
          <w:rFonts w:eastAsia="Calibri" w:cs="Times New Roman"/>
        </w:rPr>
        <w:t xml:space="preserve"> record</w:t>
      </w:r>
      <w:r w:rsidR="00E013E5">
        <w:rPr>
          <w:rFonts w:eastAsia="Calibri" w:cs="Times New Roman"/>
        </w:rPr>
        <w:t xml:space="preserve"> keeping</w:t>
      </w:r>
      <w:r>
        <w:rPr>
          <w:rFonts w:eastAsia="Calibri" w:cs="Times New Roman"/>
        </w:rPr>
        <w:t xml:space="preserve">, the Ombudsman was not confident that the Board had properly grappled or understood its task in reviewing the </w:t>
      </w:r>
      <w:r w:rsidR="003C2F6C">
        <w:rPr>
          <w:rFonts w:eastAsia="Calibri" w:cs="Times New Roman"/>
        </w:rPr>
        <w:t>p</w:t>
      </w:r>
      <w:r w:rsidR="009E6250">
        <w:rPr>
          <w:rFonts w:eastAsia="Calibri" w:cs="Times New Roman"/>
        </w:rPr>
        <w:t xml:space="preserve">rincipal’s </w:t>
      </w:r>
      <w:r>
        <w:rPr>
          <w:rFonts w:eastAsia="Calibri" w:cs="Times New Roman"/>
        </w:rPr>
        <w:t xml:space="preserve">suspension decision. </w:t>
      </w:r>
    </w:p>
    <w:p w14:paraId="47E49118" w14:textId="38E72ED0" w:rsidR="00993F1A" w:rsidRPr="003E6C9D" w:rsidRDefault="00F81347" w:rsidP="005372D0">
      <w:pPr>
        <w:rPr>
          <w:rFonts w:eastAsia="Calibri"/>
          <w:szCs w:val="29"/>
        </w:rPr>
      </w:pPr>
      <w:r w:rsidRPr="005372D0">
        <w:rPr>
          <w:rFonts w:eastAsia="Calibri"/>
          <w:sz w:val="29"/>
          <w:szCs w:val="29"/>
        </w:rPr>
        <w:t xml:space="preserve">Decision to exclude </w:t>
      </w:r>
    </w:p>
    <w:p w14:paraId="74C4C652" w14:textId="78825612" w:rsidR="00A16974" w:rsidRDefault="00996EEE" w:rsidP="00993F1A">
      <w:pPr>
        <w:rPr>
          <w:rFonts w:eastAsia="Calibri" w:cs="Times New Roman"/>
        </w:rPr>
      </w:pPr>
      <w:r w:rsidRPr="00996EEE">
        <w:rPr>
          <w:rFonts w:eastAsia="Calibri" w:cs="Times New Roman"/>
        </w:rPr>
        <w:t xml:space="preserve">The Ministry of Education guidelines state </w:t>
      </w:r>
      <w:r w:rsidRPr="00054A77">
        <w:rPr>
          <w:rStyle w:val="Quotationwithinthesentence"/>
        </w:rPr>
        <w:t>‘the decision to exclude a student is only to be made in circumstances that justify the most serious response</w:t>
      </w:r>
      <w:r w:rsidR="003C2F6C">
        <w:rPr>
          <w:rStyle w:val="Quotationwithinthesentence"/>
        </w:rPr>
        <w:t>’</w:t>
      </w:r>
      <w:r w:rsidRPr="00054A77">
        <w:rPr>
          <w:rStyle w:val="Quotationwithinthesentence"/>
        </w:rPr>
        <w:t>.</w:t>
      </w:r>
      <w:r w:rsidRPr="00996EEE">
        <w:rPr>
          <w:rFonts w:eastAsia="Calibri" w:cs="Times New Roman"/>
          <w:i/>
          <w:vertAlign w:val="superscript"/>
        </w:rPr>
        <w:footnoteReference w:id="10"/>
      </w:r>
      <w:r w:rsidRPr="00996EEE">
        <w:rPr>
          <w:rFonts w:eastAsia="Calibri" w:cs="Times New Roman"/>
        </w:rPr>
        <w:t xml:space="preserve"> </w:t>
      </w:r>
      <w:r w:rsidR="009E6250">
        <w:rPr>
          <w:rFonts w:eastAsia="Calibri" w:cs="Times New Roman"/>
        </w:rPr>
        <w:t>It highlights that e</w:t>
      </w:r>
      <w:r w:rsidRPr="00996EEE">
        <w:rPr>
          <w:rFonts w:eastAsia="Calibri" w:cs="Times New Roman"/>
        </w:rPr>
        <w:t>xclusion should be proportionate to the behaviour in question</w:t>
      </w:r>
      <w:r w:rsidR="004D67B3">
        <w:rPr>
          <w:rFonts w:eastAsia="Calibri" w:cs="Times New Roman"/>
        </w:rPr>
        <w:t xml:space="preserve">. </w:t>
      </w:r>
    </w:p>
    <w:p w14:paraId="58E17505" w14:textId="4A972A0F" w:rsidR="00993F1A" w:rsidRDefault="00A16974" w:rsidP="00993F1A">
      <w:pPr>
        <w:rPr>
          <w:rFonts w:eastAsia="Calibri" w:cs="Times New Roman"/>
        </w:rPr>
      </w:pPr>
      <w:r>
        <w:rPr>
          <w:rFonts w:eastAsia="Calibri" w:cs="Times New Roman"/>
        </w:rPr>
        <w:t>As noted above, t</w:t>
      </w:r>
      <w:r w:rsidR="00996EEE">
        <w:rPr>
          <w:rFonts w:eastAsia="Calibri" w:cs="Times New Roman"/>
        </w:rPr>
        <w:t xml:space="preserve">he </w:t>
      </w:r>
      <w:r>
        <w:rPr>
          <w:rFonts w:eastAsia="Calibri" w:cs="Times New Roman"/>
        </w:rPr>
        <w:t xml:space="preserve">Ombudsman surmised that the Board had </w:t>
      </w:r>
      <w:r w:rsidR="008403F0">
        <w:rPr>
          <w:rFonts w:eastAsia="Calibri" w:cs="Times New Roman"/>
        </w:rPr>
        <w:t xml:space="preserve">likely </w:t>
      </w:r>
      <w:r w:rsidR="00996EEE">
        <w:rPr>
          <w:rFonts w:eastAsia="Calibri" w:cs="Times New Roman"/>
        </w:rPr>
        <w:t>intended to exclude the student</w:t>
      </w:r>
      <w:r w:rsidR="008403F0">
        <w:rPr>
          <w:rFonts w:eastAsia="Calibri" w:cs="Times New Roman"/>
        </w:rPr>
        <w:t xml:space="preserve"> on the grounds of</w:t>
      </w:r>
      <w:r>
        <w:rPr>
          <w:rFonts w:eastAsia="Calibri" w:cs="Times New Roman"/>
        </w:rPr>
        <w:t xml:space="preserve"> continual disobedience</w:t>
      </w:r>
      <w:r w:rsidR="008403F0">
        <w:rPr>
          <w:rFonts w:eastAsia="Calibri" w:cs="Times New Roman"/>
        </w:rPr>
        <w:t>. T</w:t>
      </w:r>
      <w:r>
        <w:rPr>
          <w:rFonts w:eastAsia="Calibri" w:cs="Times New Roman"/>
        </w:rPr>
        <w:t>he</w:t>
      </w:r>
      <w:r w:rsidR="00B21033">
        <w:rPr>
          <w:rFonts w:eastAsia="Calibri" w:cs="Times New Roman"/>
        </w:rPr>
        <w:t xml:space="preserve"> Ombudsman</w:t>
      </w:r>
      <w:r w:rsidR="00663F4C">
        <w:rPr>
          <w:rFonts w:eastAsia="Calibri" w:cs="Times New Roman"/>
        </w:rPr>
        <w:t xml:space="preserve"> </w:t>
      </w:r>
      <w:r w:rsidR="00384714">
        <w:rPr>
          <w:rFonts w:eastAsia="Calibri" w:cs="Times New Roman"/>
        </w:rPr>
        <w:t xml:space="preserve">considered </w:t>
      </w:r>
      <w:r w:rsidR="007930AE">
        <w:rPr>
          <w:rFonts w:eastAsia="Calibri" w:cs="Times New Roman"/>
        </w:rPr>
        <w:t xml:space="preserve">that the decision of the </w:t>
      </w:r>
      <w:r w:rsidR="009E6250">
        <w:rPr>
          <w:rFonts w:eastAsia="Calibri" w:cs="Times New Roman"/>
        </w:rPr>
        <w:t>B</w:t>
      </w:r>
      <w:r w:rsidR="008403F0">
        <w:rPr>
          <w:rFonts w:eastAsia="Calibri" w:cs="Times New Roman"/>
        </w:rPr>
        <w:t>oard to exclude</w:t>
      </w:r>
      <w:r w:rsidR="007930AE">
        <w:rPr>
          <w:rFonts w:eastAsia="Calibri" w:cs="Times New Roman"/>
        </w:rPr>
        <w:t xml:space="preserve"> the student was disproportionate to the nature of the allegations</w:t>
      </w:r>
      <w:r w:rsidR="00B21033">
        <w:rPr>
          <w:rFonts w:eastAsia="Calibri" w:cs="Times New Roman"/>
        </w:rPr>
        <w:t>.</w:t>
      </w:r>
      <w:r w:rsidR="00D74533">
        <w:rPr>
          <w:rFonts w:eastAsia="Calibri" w:cs="Times New Roman"/>
        </w:rPr>
        <w:t xml:space="preserve"> </w:t>
      </w:r>
      <w:r w:rsidR="00D74533" w:rsidRPr="00D74533">
        <w:rPr>
          <w:rFonts w:eastAsia="Calibri" w:cs="Times New Roman"/>
        </w:rPr>
        <w:t>For example, information from the student</w:t>
      </w:r>
      <w:r w:rsidR="00D74533">
        <w:rPr>
          <w:rFonts w:eastAsia="Calibri" w:cs="Times New Roman"/>
        </w:rPr>
        <w:t>’</w:t>
      </w:r>
      <w:r w:rsidR="00D74533" w:rsidRPr="00D74533">
        <w:rPr>
          <w:rFonts w:eastAsia="Calibri" w:cs="Times New Roman"/>
        </w:rPr>
        <w:t>s teachers indicated their behaviour in class had improved since being disciplined earlier in the year for cannabis use. The Ombudsman found it har</w:t>
      </w:r>
      <w:r w:rsidR="00D74533">
        <w:rPr>
          <w:rFonts w:eastAsia="Calibri" w:cs="Times New Roman"/>
        </w:rPr>
        <w:t>d to square these reports with the Board’s position that the student had</w:t>
      </w:r>
      <w:r w:rsidR="00D74533" w:rsidRPr="00D74533">
        <w:rPr>
          <w:rFonts w:eastAsia="Calibri" w:cs="Times New Roman"/>
        </w:rPr>
        <w:t xml:space="preserve"> been </w:t>
      </w:r>
      <w:r w:rsidR="004D67B3" w:rsidRPr="00054A77">
        <w:rPr>
          <w:rStyle w:val="Quotationwithinthesentence"/>
        </w:rPr>
        <w:t>‘</w:t>
      </w:r>
      <w:r w:rsidR="00D74533" w:rsidRPr="00054A77">
        <w:rPr>
          <w:rStyle w:val="Quotationwithinthesentence"/>
        </w:rPr>
        <w:t>continually disrespectful and defiant</w:t>
      </w:r>
      <w:r w:rsidR="004D67B3" w:rsidRPr="00054A77">
        <w:rPr>
          <w:rStyle w:val="Quotationwithinthesentence"/>
        </w:rPr>
        <w:t>’</w:t>
      </w:r>
      <w:r w:rsidR="00D74533" w:rsidRPr="00054A77">
        <w:rPr>
          <w:rStyle w:val="Quotationwithinthesentence"/>
        </w:rPr>
        <w:t xml:space="preserve"> </w:t>
      </w:r>
      <w:r w:rsidR="00D74533">
        <w:rPr>
          <w:rFonts w:eastAsia="Calibri" w:cs="Times New Roman"/>
        </w:rPr>
        <w:t>towards</w:t>
      </w:r>
      <w:r w:rsidR="00D74533" w:rsidRPr="00D74533">
        <w:rPr>
          <w:rFonts w:eastAsia="Calibri" w:cs="Times New Roman"/>
        </w:rPr>
        <w:t xml:space="preserve"> t</w:t>
      </w:r>
      <w:r w:rsidR="00663F4C">
        <w:rPr>
          <w:rFonts w:eastAsia="Calibri" w:cs="Times New Roman"/>
        </w:rPr>
        <w:t>eachers. There was no</w:t>
      </w:r>
      <w:r w:rsidR="00D74533" w:rsidRPr="00D74533">
        <w:rPr>
          <w:rFonts w:eastAsia="Calibri" w:cs="Times New Roman"/>
        </w:rPr>
        <w:t xml:space="preserve"> evidence that the student had co</w:t>
      </w:r>
      <w:r w:rsidR="008403F0">
        <w:rPr>
          <w:rFonts w:eastAsia="Calibri" w:cs="Times New Roman"/>
        </w:rPr>
        <w:t>ntinued to use cannabis or vape</w:t>
      </w:r>
      <w:r w:rsidR="00D74533" w:rsidRPr="00D74533">
        <w:rPr>
          <w:rFonts w:eastAsia="Calibri" w:cs="Times New Roman"/>
        </w:rPr>
        <w:t xml:space="preserve">. The pastoral record showed only three specific incidents </w:t>
      </w:r>
      <w:r w:rsidR="00A52B9B">
        <w:rPr>
          <w:rFonts w:eastAsia="Calibri" w:cs="Times New Roman"/>
        </w:rPr>
        <w:t xml:space="preserve">that could be construed as </w:t>
      </w:r>
      <w:r w:rsidR="00050DF5">
        <w:rPr>
          <w:rFonts w:eastAsia="Calibri" w:cs="Times New Roman"/>
        </w:rPr>
        <w:t>relevant</w:t>
      </w:r>
      <w:r w:rsidR="00D74533" w:rsidRPr="00D74533">
        <w:rPr>
          <w:rFonts w:eastAsia="Calibri" w:cs="Times New Roman"/>
        </w:rPr>
        <w:t xml:space="preserve"> leading up to the suspension,</w:t>
      </w:r>
      <w:r w:rsidR="00991F64">
        <w:rPr>
          <w:rFonts w:eastAsia="Calibri" w:cs="Times New Roman"/>
        </w:rPr>
        <w:t xml:space="preserve"> involving conduct towards fellow students,</w:t>
      </w:r>
      <w:r w:rsidR="00D74533" w:rsidRPr="00D74533">
        <w:rPr>
          <w:rFonts w:eastAsia="Calibri" w:cs="Times New Roman"/>
        </w:rPr>
        <w:t xml:space="preserve"> none of which</w:t>
      </w:r>
      <w:r w:rsidR="00D74533">
        <w:rPr>
          <w:rFonts w:eastAsia="Calibri" w:cs="Times New Roman"/>
        </w:rPr>
        <w:t xml:space="preserve"> the school </w:t>
      </w:r>
      <w:r w:rsidR="009E6250">
        <w:rPr>
          <w:rFonts w:eastAsia="Calibri" w:cs="Times New Roman"/>
        </w:rPr>
        <w:t xml:space="preserve">had </w:t>
      </w:r>
      <w:r w:rsidR="00D74533">
        <w:rPr>
          <w:rFonts w:eastAsia="Calibri" w:cs="Times New Roman"/>
        </w:rPr>
        <w:t>regarded as serious</w:t>
      </w:r>
      <w:r w:rsidR="00D74533" w:rsidRPr="00D74533">
        <w:rPr>
          <w:rFonts w:eastAsia="Calibri" w:cs="Times New Roman"/>
        </w:rPr>
        <w:t xml:space="preserve"> when they occurred</w:t>
      </w:r>
      <w:r w:rsidR="004D67B3">
        <w:rPr>
          <w:rFonts w:eastAsia="Calibri" w:cs="Times New Roman"/>
        </w:rPr>
        <w:t xml:space="preserve">. </w:t>
      </w:r>
    </w:p>
    <w:p w14:paraId="6CF58263" w14:textId="14056F9A" w:rsidR="00EA6ABD" w:rsidRDefault="007676F9" w:rsidP="00E056A4">
      <w:pPr>
        <w:pStyle w:val="BodyText"/>
        <w:rPr>
          <w:rFonts w:eastAsia="Calibri" w:cs="Times New Roman"/>
        </w:rPr>
      </w:pPr>
      <w:r>
        <w:rPr>
          <w:rFonts w:eastAsia="Calibri" w:cs="Times New Roman"/>
        </w:rPr>
        <w:t xml:space="preserve">In response, the Board maintained that its decision to exclude the student was </w:t>
      </w:r>
      <w:r w:rsidRPr="007676F9">
        <w:rPr>
          <w:rFonts w:eastAsia="Calibri" w:cs="Times New Roman"/>
        </w:rPr>
        <w:t>appropriate in the circumstances. It state</w:t>
      </w:r>
      <w:r>
        <w:rPr>
          <w:rFonts w:eastAsia="Calibri" w:cs="Times New Roman"/>
        </w:rPr>
        <w:t>d</w:t>
      </w:r>
      <w:r w:rsidRPr="007676F9">
        <w:rPr>
          <w:rFonts w:eastAsia="Calibri" w:cs="Times New Roman"/>
        </w:rPr>
        <w:t xml:space="preserve"> that any </w:t>
      </w:r>
      <w:r w:rsidR="00444678" w:rsidRPr="00054A77">
        <w:rPr>
          <w:rStyle w:val="Quotationwithinthesentence"/>
        </w:rPr>
        <w:t>‘</w:t>
      </w:r>
      <w:r w:rsidRPr="00054A77">
        <w:rPr>
          <w:rStyle w:val="Quotationwithinthesentence"/>
        </w:rPr>
        <w:t>real or perceived shortcomings</w:t>
      </w:r>
      <w:r w:rsidR="004D67B3">
        <w:rPr>
          <w:rStyle w:val="Quotationwithinthesentence"/>
        </w:rPr>
        <w:t>’</w:t>
      </w:r>
      <w:r w:rsidRPr="007676F9">
        <w:rPr>
          <w:rFonts w:eastAsia="Calibri" w:cs="Times New Roman"/>
          <w:i/>
        </w:rPr>
        <w:t xml:space="preserve"> </w:t>
      </w:r>
      <w:r w:rsidRPr="007676F9">
        <w:rPr>
          <w:rFonts w:eastAsia="Calibri" w:cs="Times New Roman"/>
        </w:rPr>
        <w:t>in the disciplinary process would not have altered the Board’s decision</w:t>
      </w:r>
      <w:r>
        <w:rPr>
          <w:rFonts w:eastAsia="Calibri" w:cs="Times New Roman"/>
        </w:rPr>
        <w:t xml:space="preserve">. </w:t>
      </w:r>
      <w:r w:rsidR="00D74533">
        <w:rPr>
          <w:rFonts w:eastAsia="Calibri" w:cs="Times New Roman"/>
        </w:rPr>
        <w:t>It also confirmed</w:t>
      </w:r>
      <w:r w:rsidR="00384714">
        <w:rPr>
          <w:rFonts w:eastAsia="Calibri" w:cs="Times New Roman"/>
        </w:rPr>
        <w:t xml:space="preserve"> </w:t>
      </w:r>
      <w:r w:rsidR="006F438F">
        <w:rPr>
          <w:rFonts w:eastAsia="Calibri" w:cs="Times New Roman"/>
        </w:rPr>
        <w:t>that the student was ex</w:t>
      </w:r>
      <w:r w:rsidR="00054A77">
        <w:rPr>
          <w:rFonts w:eastAsia="Calibri" w:cs="Times New Roman"/>
        </w:rPr>
        <w:t>cluded</w:t>
      </w:r>
      <w:r w:rsidR="006F438F">
        <w:rPr>
          <w:rFonts w:eastAsia="Calibri" w:cs="Times New Roman"/>
        </w:rPr>
        <w:t xml:space="preserve"> </w:t>
      </w:r>
      <w:r w:rsidR="00384714">
        <w:rPr>
          <w:rFonts w:eastAsia="Calibri" w:cs="Times New Roman"/>
        </w:rPr>
        <w:t xml:space="preserve">by the Board </w:t>
      </w:r>
      <w:r w:rsidR="006F438F">
        <w:rPr>
          <w:rFonts w:eastAsia="Calibri" w:cs="Times New Roman"/>
        </w:rPr>
        <w:t xml:space="preserve">on the basis of </w:t>
      </w:r>
      <w:r w:rsidR="004D67B3" w:rsidRPr="00054A77">
        <w:rPr>
          <w:rStyle w:val="Quotationwithinthesentence"/>
        </w:rPr>
        <w:t>‘</w:t>
      </w:r>
      <w:r w:rsidR="006F438F" w:rsidRPr="00054A77">
        <w:rPr>
          <w:rStyle w:val="Quotationwithinthesentence"/>
        </w:rPr>
        <w:t>gross misconduct</w:t>
      </w:r>
      <w:r w:rsidR="004D67B3" w:rsidRPr="00054A77">
        <w:rPr>
          <w:rStyle w:val="Quotationwithinthesentence"/>
        </w:rPr>
        <w:t>’</w:t>
      </w:r>
      <w:r w:rsidR="006F438F">
        <w:rPr>
          <w:rFonts w:eastAsia="Calibri" w:cs="Times New Roman"/>
        </w:rPr>
        <w:t xml:space="preserve">. </w:t>
      </w:r>
      <w:r>
        <w:rPr>
          <w:rFonts w:eastAsia="Calibri" w:cs="Times New Roman"/>
        </w:rPr>
        <w:t>However,</w:t>
      </w:r>
      <w:r w:rsidR="0001507F">
        <w:rPr>
          <w:rFonts w:eastAsia="Calibri" w:cs="Times New Roman"/>
        </w:rPr>
        <w:t xml:space="preserve"> the Ombudsman did not consider</w:t>
      </w:r>
      <w:r>
        <w:rPr>
          <w:rFonts w:eastAsia="Calibri" w:cs="Times New Roman"/>
        </w:rPr>
        <w:t xml:space="preserve"> that the Board had </w:t>
      </w:r>
      <w:r w:rsidR="006F438F">
        <w:rPr>
          <w:rFonts w:eastAsia="Calibri" w:cs="Times New Roman"/>
        </w:rPr>
        <w:t>identified any behaviours o</w:t>
      </w:r>
      <w:r w:rsidR="00FF3823">
        <w:rPr>
          <w:rFonts w:eastAsia="Calibri" w:cs="Times New Roman"/>
        </w:rPr>
        <w:t>f</w:t>
      </w:r>
      <w:r w:rsidR="006F438F">
        <w:rPr>
          <w:rFonts w:eastAsia="Calibri" w:cs="Times New Roman"/>
        </w:rPr>
        <w:t xml:space="preserve"> the sort that </w:t>
      </w:r>
      <w:r w:rsidR="00A83027">
        <w:rPr>
          <w:rFonts w:eastAsia="Calibri" w:cs="Times New Roman"/>
        </w:rPr>
        <w:t>might be regarded as</w:t>
      </w:r>
      <w:r w:rsidR="0001507F">
        <w:rPr>
          <w:rFonts w:eastAsia="Calibri" w:cs="Times New Roman"/>
        </w:rPr>
        <w:t xml:space="preserve"> </w:t>
      </w:r>
      <w:r w:rsidR="006F438F">
        <w:rPr>
          <w:rFonts w:eastAsia="Calibri" w:cs="Times New Roman"/>
        </w:rPr>
        <w:t>gross misconduct</w:t>
      </w:r>
      <w:r w:rsidR="008403F0">
        <w:rPr>
          <w:rFonts w:eastAsia="Calibri" w:cs="Times New Roman"/>
        </w:rPr>
        <w:t xml:space="preserve"> under</w:t>
      </w:r>
      <w:r w:rsidR="00FF3823">
        <w:rPr>
          <w:rFonts w:eastAsia="Calibri" w:cs="Times New Roman"/>
        </w:rPr>
        <w:t xml:space="preserve"> the Act</w:t>
      </w:r>
      <w:r w:rsidR="006F438F">
        <w:rPr>
          <w:rFonts w:eastAsia="Calibri" w:cs="Times New Roman"/>
        </w:rPr>
        <w:t xml:space="preserve">. </w:t>
      </w:r>
      <w:r w:rsidR="00384714">
        <w:rPr>
          <w:rFonts w:eastAsia="Calibri" w:cs="Times New Roman"/>
        </w:rPr>
        <w:t>The Ombudsman</w:t>
      </w:r>
      <w:r w:rsidR="006F438F">
        <w:rPr>
          <w:rFonts w:eastAsia="Calibri" w:cs="Times New Roman"/>
        </w:rPr>
        <w:t xml:space="preserve"> </w:t>
      </w:r>
      <w:r w:rsidR="00FF3823">
        <w:rPr>
          <w:rFonts w:eastAsia="Calibri" w:cs="Times New Roman"/>
        </w:rPr>
        <w:t xml:space="preserve">also </w:t>
      </w:r>
      <w:r w:rsidR="000C145E">
        <w:rPr>
          <w:rFonts w:eastAsia="Calibri" w:cs="Times New Roman"/>
        </w:rPr>
        <w:t>considered</w:t>
      </w:r>
      <w:r w:rsidR="006F438F">
        <w:rPr>
          <w:rFonts w:eastAsia="Calibri" w:cs="Times New Roman"/>
        </w:rPr>
        <w:t xml:space="preserve"> that </w:t>
      </w:r>
      <w:r w:rsidR="006F438F" w:rsidRPr="006F438F">
        <w:rPr>
          <w:rFonts w:eastAsia="Calibri" w:cs="Times New Roman"/>
        </w:rPr>
        <w:t>suspend</w:t>
      </w:r>
      <w:r w:rsidR="006F438F">
        <w:rPr>
          <w:rFonts w:eastAsia="Calibri" w:cs="Times New Roman"/>
        </w:rPr>
        <w:t>ing</w:t>
      </w:r>
      <w:r w:rsidR="006F438F" w:rsidRPr="006F438F">
        <w:rPr>
          <w:rFonts w:eastAsia="Calibri" w:cs="Times New Roman"/>
        </w:rPr>
        <w:t xml:space="preserve"> a</w:t>
      </w:r>
      <w:r w:rsidR="007818A7">
        <w:rPr>
          <w:rFonts w:eastAsia="Calibri" w:cs="Times New Roman"/>
        </w:rPr>
        <w:t xml:space="preserve"> student under one ground, and excluding</w:t>
      </w:r>
      <w:r w:rsidR="006F438F">
        <w:rPr>
          <w:rFonts w:eastAsia="Calibri" w:cs="Times New Roman"/>
        </w:rPr>
        <w:t xml:space="preserve"> them under another </w:t>
      </w:r>
      <w:r w:rsidR="007818A7">
        <w:rPr>
          <w:rFonts w:eastAsia="Calibri" w:cs="Times New Roman"/>
        </w:rPr>
        <w:t>ground was</w:t>
      </w:r>
      <w:r w:rsidR="006F438F">
        <w:rPr>
          <w:rFonts w:eastAsia="Calibri" w:cs="Times New Roman"/>
        </w:rPr>
        <w:t xml:space="preserve"> inconsistent with the</w:t>
      </w:r>
      <w:r w:rsidR="006F438F" w:rsidRPr="006F438F">
        <w:rPr>
          <w:rFonts w:eastAsia="Calibri" w:cs="Times New Roman"/>
        </w:rPr>
        <w:t xml:space="preserve"> principle</w:t>
      </w:r>
      <w:r w:rsidR="007818A7">
        <w:rPr>
          <w:rFonts w:eastAsia="Calibri" w:cs="Times New Roman"/>
        </w:rPr>
        <w:t>s of natural justice</w:t>
      </w:r>
      <w:r w:rsidR="004D67B3">
        <w:rPr>
          <w:rFonts w:eastAsia="Calibri" w:cs="Times New Roman"/>
        </w:rPr>
        <w:t xml:space="preserve">. </w:t>
      </w:r>
    </w:p>
    <w:p w14:paraId="01B70AA5" w14:textId="6E2853A0" w:rsidR="00553834" w:rsidRDefault="00334979" w:rsidP="00553834">
      <w:pPr>
        <w:pStyle w:val="Heading2"/>
        <w:spacing w:after="240"/>
      </w:pPr>
      <w:r>
        <w:t>I</w:t>
      </w:r>
      <w:r w:rsidR="00AC1AEB">
        <w:t>nvestigation</w:t>
      </w:r>
      <w:r>
        <w:t xml:space="preserve"> B</w:t>
      </w:r>
    </w:p>
    <w:p w14:paraId="3CF4A8CB" w14:textId="1EC77C92" w:rsidR="00553834" w:rsidRDefault="00AC1AEB" w:rsidP="000A1A30">
      <w:pPr>
        <w:pStyle w:val="BodyText"/>
      </w:pPr>
      <w:r>
        <w:t>Investigation B</w:t>
      </w:r>
      <w:r w:rsidR="00A13B4E">
        <w:t xml:space="preserve"> </w:t>
      </w:r>
      <w:r w:rsidR="00FF3823">
        <w:t>focused on</w:t>
      </w:r>
      <w:r w:rsidR="00227CD2" w:rsidRPr="00227CD2">
        <w:t xml:space="preserve"> the</w:t>
      </w:r>
      <w:r w:rsidR="00A52B9B">
        <w:t xml:space="preserve"> exclusion/</w:t>
      </w:r>
      <w:r w:rsidR="00054A77">
        <w:t>expulsion</w:t>
      </w:r>
      <w:r w:rsidR="00227CD2" w:rsidRPr="00227CD2">
        <w:t xml:space="preserve"> of a gr</w:t>
      </w:r>
      <w:r w:rsidR="00A13B4E">
        <w:t>oup of students</w:t>
      </w:r>
      <w:r w:rsidR="00A52B9B">
        <w:t>,</w:t>
      </w:r>
      <w:r w:rsidR="00A52B9B">
        <w:rPr>
          <w:rStyle w:val="FootnoteReference"/>
        </w:rPr>
        <w:footnoteReference w:id="11"/>
      </w:r>
      <w:r w:rsidR="009E6250">
        <w:t xml:space="preserve"> </w:t>
      </w:r>
      <w:r w:rsidR="00A13B4E">
        <w:t>and again raised</w:t>
      </w:r>
      <w:r w:rsidR="00227CD2" w:rsidRPr="00227CD2">
        <w:t xml:space="preserve"> recor</w:t>
      </w:r>
      <w:r w:rsidR="00390EF9">
        <w:t>d-</w:t>
      </w:r>
      <w:r w:rsidR="00A13B4E">
        <w:t xml:space="preserve">keeping </w:t>
      </w:r>
      <w:r w:rsidR="00390EF9">
        <w:t>and decision</w:t>
      </w:r>
      <w:r w:rsidR="00444678">
        <w:t>-</w:t>
      </w:r>
      <w:r w:rsidR="00390EF9">
        <w:t xml:space="preserve">making </w:t>
      </w:r>
      <w:r w:rsidR="00A13B4E">
        <w:t>issues</w:t>
      </w:r>
      <w:r w:rsidR="004D67B3">
        <w:t>.</w:t>
      </w:r>
      <w:r w:rsidR="00FF3823">
        <w:rPr>
          <w:rStyle w:val="FootnoteReference"/>
        </w:rPr>
        <w:footnoteReference w:id="12"/>
      </w:r>
      <w:r w:rsidR="004D67B3">
        <w:t xml:space="preserve"> </w:t>
      </w:r>
    </w:p>
    <w:p w14:paraId="013A68F1" w14:textId="7FDA0092" w:rsidR="004E73B7" w:rsidRDefault="00553834" w:rsidP="00553834">
      <w:pPr>
        <w:pStyle w:val="Heading3"/>
        <w:spacing w:before="240"/>
      </w:pPr>
      <w:r>
        <w:t>Suspension meeting</w:t>
      </w:r>
      <w:r w:rsidR="00EC37B6">
        <w:t xml:space="preserve"> </w:t>
      </w:r>
      <w:r w:rsidR="00696ABF">
        <w:t>/ record keeping</w:t>
      </w:r>
    </w:p>
    <w:p w14:paraId="5CCC7361" w14:textId="69EE293B" w:rsidR="00390EF9" w:rsidRDefault="00284AD7" w:rsidP="00941882">
      <w:pPr>
        <w:pStyle w:val="BodyText"/>
      </w:pPr>
      <w:r>
        <w:t>The Ombudsman focused his</w:t>
      </w:r>
      <w:r w:rsidR="00EC37B6">
        <w:t xml:space="preserve"> investigation on </w:t>
      </w:r>
      <w:r w:rsidR="00390EF9">
        <w:t xml:space="preserve">the </w:t>
      </w:r>
      <w:r w:rsidR="00EC37B6">
        <w:t xml:space="preserve">decision by the </w:t>
      </w:r>
      <w:r w:rsidR="00390EF9">
        <w:t>B</w:t>
      </w:r>
      <w:r w:rsidR="00696ABF">
        <w:t xml:space="preserve">oard to </w:t>
      </w:r>
      <w:r w:rsidR="005C69F8">
        <w:t>exclude/</w:t>
      </w:r>
      <w:r w:rsidR="00696ABF">
        <w:t>expel the students,</w:t>
      </w:r>
      <w:r w:rsidR="00EC37B6">
        <w:t xml:space="preserve"> </w:t>
      </w:r>
      <w:r w:rsidR="00A45E94">
        <w:t xml:space="preserve">and </w:t>
      </w:r>
      <w:r w:rsidR="00EC37B6">
        <w:t xml:space="preserve">the </w:t>
      </w:r>
      <w:r w:rsidR="00941882">
        <w:t xml:space="preserve">documentation of its decision-making. </w:t>
      </w:r>
      <w:r w:rsidR="00696ABF">
        <w:t xml:space="preserve">Based </w:t>
      </w:r>
      <w:r w:rsidR="00941882">
        <w:t>on</w:t>
      </w:r>
      <w:r w:rsidR="00696ABF">
        <w:t xml:space="preserve"> the available record</w:t>
      </w:r>
      <w:r w:rsidR="00175753">
        <w:t>s</w:t>
      </w:r>
      <w:r w:rsidR="00696ABF">
        <w:t>, t</w:t>
      </w:r>
      <w:r w:rsidR="004E73B7">
        <w:t xml:space="preserve">he Ombudsman was not satisfied that the Board had </w:t>
      </w:r>
      <w:r w:rsidR="00941882">
        <w:t>undertaken the required balancing exercise that considered</w:t>
      </w:r>
      <w:r w:rsidR="004E73B7" w:rsidRPr="004E73B7">
        <w:t xml:space="preserve"> all relevant circumstances</w:t>
      </w:r>
      <w:r w:rsidR="004E73B7">
        <w:t>, as requi</w:t>
      </w:r>
      <w:r w:rsidR="00941882">
        <w:t>red by the Rules</w:t>
      </w:r>
      <w:r w:rsidR="00390EF9">
        <w:t xml:space="preserve"> and</w:t>
      </w:r>
      <w:r w:rsidR="00696ABF">
        <w:t xml:space="preserve"> </w:t>
      </w:r>
      <w:r w:rsidR="00390EF9">
        <w:t>highlighted by</w:t>
      </w:r>
      <w:r w:rsidR="004E73B7">
        <w:t xml:space="preserve"> </w:t>
      </w:r>
      <w:r w:rsidR="00390EF9">
        <w:t xml:space="preserve">Ministry </w:t>
      </w:r>
      <w:r w:rsidR="00444678">
        <w:t>g</w:t>
      </w:r>
      <w:r w:rsidR="004E73B7">
        <w:t>uidelines</w:t>
      </w:r>
      <w:r w:rsidR="004E73B7" w:rsidRPr="004E73B7">
        <w:t xml:space="preserve">. </w:t>
      </w:r>
      <w:r w:rsidR="00A4109A">
        <w:t>T</w:t>
      </w:r>
      <w:r w:rsidR="00674454">
        <w:t>he Ombudsman</w:t>
      </w:r>
      <w:r w:rsidR="00A4109A">
        <w:t xml:space="preserve"> identified concern </w:t>
      </w:r>
      <w:r w:rsidR="00941882">
        <w:t xml:space="preserve">that </w:t>
      </w:r>
      <w:r w:rsidR="008116D3">
        <w:t>n</w:t>
      </w:r>
      <w:r w:rsidR="00A4109A" w:rsidRPr="00A4109A">
        <w:t xml:space="preserve">one of the </w:t>
      </w:r>
      <w:r w:rsidR="007C52E2">
        <w:t>relevant documentation</w:t>
      </w:r>
      <w:r w:rsidR="00A4109A" w:rsidRPr="00A4109A">
        <w:t xml:space="preserve"> contained a principal’s report </w:t>
      </w:r>
      <w:r w:rsidR="00941882">
        <w:t>(as required by Clauses 14 and 17 of the Rules</w:t>
      </w:r>
      <w:r w:rsidR="00390EF9">
        <w:t xml:space="preserve">) </w:t>
      </w:r>
      <w:r w:rsidR="00390EF9" w:rsidRPr="00390EF9">
        <w:t xml:space="preserve">or </w:t>
      </w:r>
      <w:r w:rsidR="007C52E2">
        <w:t xml:space="preserve">any </w:t>
      </w:r>
      <w:r w:rsidR="00390EF9" w:rsidRPr="00390EF9">
        <w:t xml:space="preserve">record of </w:t>
      </w:r>
      <w:r w:rsidR="007C52E2">
        <w:t>the Board’s deliberations in</w:t>
      </w:r>
      <w:r w:rsidR="00390EF9" w:rsidRPr="00390EF9">
        <w:t xml:space="preserve"> </w:t>
      </w:r>
      <w:r w:rsidR="005C69F8">
        <w:t>excluding/</w:t>
      </w:r>
      <w:r w:rsidR="00390EF9" w:rsidRPr="00390EF9">
        <w:t>expel</w:t>
      </w:r>
      <w:r w:rsidR="007C52E2">
        <w:t>ling</w:t>
      </w:r>
      <w:r w:rsidR="00390EF9" w:rsidRPr="00390EF9">
        <w:t xml:space="preserve"> the students</w:t>
      </w:r>
      <w:r w:rsidR="00390EF9" w:rsidRPr="00390EF9">
        <w:rPr>
          <w:b/>
          <w:i/>
        </w:rPr>
        <w:t>.</w:t>
      </w:r>
      <w:r w:rsidR="00390EF9" w:rsidRPr="00390EF9">
        <w:t xml:space="preserve"> </w:t>
      </w:r>
    </w:p>
    <w:p w14:paraId="4ECA1874" w14:textId="03A8ECC1" w:rsidR="00EC37B6" w:rsidRDefault="00EC37B6" w:rsidP="007D13C4">
      <w:pPr>
        <w:pStyle w:val="Bullet1"/>
        <w:numPr>
          <w:ilvl w:val="0"/>
          <w:numId w:val="0"/>
        </w:numPr>
      </w:pPr>
      <w:r>
        <w:t>In the circumstances, there</w:t>
      </w:r>
      <w:r w:rsidR="008116D3">
        <w:t xml:space="preserve"> were</w:t>
      </w:r>
      <w:r w:rsidR="00A4109A">
        <w:t xml:space="preserve"> </w:t>
      </w:r>
      <w:r w:rsidR="008116D3">
        <w:t>no records</w:t>
      </w:r>
      <w:r w:rsidR="00A4109A">
        <w:t xml:space="preserve"> to confirm that the Board </w:t>
      </w:r>
      <w:r w:rsidR="00941882">
        <w:t xml:space="preserve">had undertaken an independent review of the principal’s suspension decision or adequately considered the circumstances. </w:t>
      </w:r>
      <w:r w:rsidR="00DE66F0">
        <w:t xml:space="preserve">Given the </w:t>
      </w:r>
      <w:r w:rsidR="00DE66F0" w:rsidRPr="00DE66F0">
        <w:rPr>
          <w:rFonts w:eastAsia="Calibri" w:cs="Times New Roman"/>
        </w:rPr>
        <w:t>clear expectation</w:t>
      </w:r>
      <w:r w:rsidR="00DE66F0">
        <w:rPr>
          <w:rFonts w:eastAsia="Calibri" w:cs="Times New Roman"/>
        </w:rPr>
        <w:t xml:space="preserve"> that</w:t>
      </w:r>
      <w:r w:rsidR="00284AD7">
        <w:rPr>
          <w:rFonts w:eastAsia="Calibri" w:cs="Times New Roman"/>
        </w:rPr>
        <w:t xml:space="preserve"> school b</w:t>
      </w:r>
      <w:r w:rsidR="00DE66F0">
        <w:rPr>
          <w:rFonts w:eastAsia="Calibri" w:cs="Times New Roman"/>
        </w:rPr>
        <w:t>oards</w:t>
      </w:r>
      <w:r w:rsidR="00DE66F0" w:rsidRPr="00DE66F0">
        <w:rPr>
          <w:rFonts w:eastAsia="Calibri" w:cs="Times New Roman"/>
        </w:rPr>
        <w:t xml:space="preserve"> clearly and comprehensivel</w:t>
      </w:r>
      <w:r w:rsidR="00284AD7">
        <w:rPr>
          <w:rFonts w:eastAsia="Calibri" w:cs="Times New Roman"/>
        </w:rPr>
        <w:t>y document</w:t>
      </w:r>
      <w:r w:rsidR="004423C7">
        <w:rPr>
          <w:rFonts w:eastAsia="Calibri" w:cs="Times New Roman"/>
        </w:rPr>
        <w:t xml:space="preserve"> </w:t>
      </w:r>
      <w:r w:rsidR="00106B3D">
        <w:rPr>
          <w:rFonts w:eastAsia="Calibri" w:cs="Times New Roman"/>
        </w:rPr>
        <w:t xml:space="preserve">their </w:t>
      </w:r>
      <w:r w:rsidR="008116D3">
        <w:rPr>
          <w:rFonts w:eastAsia="Calibri" w:cs="Times New Roman"/>
        </w:rPr>
        <w:t>decision-</w:t>
      </w:r>
      <w:r w:rsidR="00DE66F0" w:rsidRPr="00DE66F0">
        <w:rPr>
          <w:rFonts w:eastAsia="Calibri" w:cs="Times New Roman"/>
        </w:rPr>
        <w:t>making</w:t>
      </w:r>
      <w:r w:rsidR="00106B3D">
        <w:rPr>
          <w:rFonts w:eastAsia="Calibri" w:cs="Times New Roman"/>
        </w:rPr>
        <w:t xml:space="preserve"> in this area</w:t>
      </w:r>
      <w:r w:rsidR="00DE66F0">
        <w:rPr>
          <w:rFonts w:eastAsia="Calibri" w:cs="Times New Roman"/>
        </w:rPr>
        <w:t xml:space="preserve">, the Ombudsman regarded this </w:t>
      </w:r>
      <w:r w:rsidR="00696ABF">
        <w:rPr>
          <w:rFonts w:eastAsia="Calibri" w:cs="Times New Roman"/>
        </w:rPr>
        <w:t>as a significant failure</w:t>
      </w:r>
      <w:r w:rsidR="00DE66F0">
        <w:rPr>
          <w:rFonts w:eastAsia="Calibri" w:cs="Times New Roman"/>
        </w:rPr>
        <w:t>. T</w:t>
      </w:r>
      <w:r w:rsidR="008116D3">
        <w:rPr>
          <w:rFonts w:eastAsia="Calibri" w:cs="Times New Roman"/>
        </w:rPr>
        <w:t>he omission</w:t>
      </w:r>
      <w:r w:rsidR="00284AD7">
        <w:rPr>
          <w:rFonts w:eastAsia="Calibri" w:cs="Times New Roman"/>
        </w:rPr>
        <w:t xml:space="preserve"> of the Board</w:t>
      </w:r>
      <w:r w:rsidR="008116D3">
        <w:rPr>
          <w:rFonts w:eastAsia="Calibri" w:cs="Times New Roman"/>
        </w:rPr>
        <w:t xml:space="preserve"> to keep adequate</w:t>
      </w:r>
      <w:r w:rsidR="00696ABF">
        <w:rPr>
          <w:rFonts w:eastAsia="Calibri" w:cs="Times New Roman"/>
        </w:rPr>
        <w:t xml:space="preserve"> record</w:t>
      </w:r>
      <w:r w:rsidR="008116D3">
        <w:rPr>
          <w:rFonts w:eastAsia="Calibri" w:cs="Times New Roman"/>
        </w:rPr>
        <w:t>s</w:t>
      </w:r>
      <w:r w:rsidR="00941882">
        <w:rPr>
          <w:rFonts w:eastAsia="Calibri" w:cs="Times New Roman"/>
        </w:rPr>
        <w:t xml:space="preserve"> </w:t>
      </w:r>
      <w:r w:rsidR="004423C7">
        <w:rPr>
          <w:rFonts w:eastAsia="Calibri" w:cs="Times New Roman"/>
        </w:rPr>
        <w:t>was seen as</w:t>
      </w:r>
      <w:r w:rsidR="00696ABF">
        <w:rPr>
          <w:rFonts w:eastAsia="Calibri" w:cs="Times New Roman"/>
        </w:rPr>
        <w:t xml:space="preserve"> a fundamental flaw of</w:t>
      </w:r>
      <w:r w:rsidR="00284AD7">
        <w:rPr>
          <w:rFonts w:eastAsia="Calibri" w:cs="Times New Roman"/>
        </w:rPr>
        <w:t xml:space="preserve"> its</w:t>
      </w:r>
      <w:r w:rsidR="00DE66F0">
        <w:rPr>
          <w:rFonts w:eastAsia="Calibri" w:cs="Times New Roman"/>
        </w:rPr>
        <w:t xml:space="preserve"> decision-making process</w:t>
      </w:r>
      <w:r w:rsidR="007D13C4">
        <w:rPr>
          <w:rFonts w:eastAsia="Calibri" w:cs="Times New Roman"/>
        </w:rPr>
        <w:t xml:space="preserve">. There was </w:t>
      </w:r>
      <w:r w:rsidR="00941882">
        <w:rPr>
          <w:rFonts w:eastAsia="Calibri" w:cs="Times New Roman"/>
        </w:rPr>
        <w:t xml:space="preserve">also </w:t>
      </w:r>
      <w:r w:rsidR="007D13C4">
        <w:rPr>
          <w:rFonts w:eastAsia="Calibri" w:cs="Times New Roman"/>
        </w:rPr>
        <w:t>nothing to confirm that the</w:t>
      </w:r>
      <w:r w:rsidR="007D13C4">
        <w:t xml:space="preserve"> Board was</w:t>
      </w:r>
      <w:r>
        <w:t xml:space="preserve"> presented with all the information required</w:t>
      </w:r>
      <w:r w:rsidRPr="00EC37B6">
        <w:t xml:space="preserve"> to make a decis</w:t>
      </w:r>
      <w:r w:rsidR="00284AD7">
        <w:t xml:space="preserve">ion on the </w:t>
      </w:r>
      <w:r w:rsidR="005C69F8">
        <w:t>exclusion/</w:t>
      </w:r>
      <w:r w:rsidR="00284AD7">
        <w:t>expulsion</w:t>
      </w:r>
      <w:r w:rsidRPr="00EC37B6">
        <w:t xml:space="preserve"> of </w:t>
      </w:r>
      <w:r w:rsidR="00910B51">
        <w:t>the</w:t>
      </w:r>
      <w:r w:rsidRPr="00EC37B6">
        <w:t xml:space="preserve"> student</w:t>
      </w:r>
      <w:r w:rsidR="00910B51">
        <w:t>s</w:t>
      </w:r>
      <w:r w:rsidR="00384714">
        <w:t>. This meant that the Board was</w:t>
      </w:r>
      <w:r w:rsidR="008116D3">
        <w:t xml:space="preserve"> </w:t>
      </w:r>
      <w:r w:rsidR="007D13C4">
        <w:t>not in a position to make an informed decision</w:t>
      </w:r>
      <w:r w:rsidR="00384714">
        <w:t xml:space="preserve"> based the</w:t>
      </w:r>
      <w:r w:rsidR="007D13C4">
        <w:t xml:space="preserve"> </w:t>
      </w:r>
      <w:r w:rsidR="00696ABF">
        <w:t>relevant</w:t>
      </w:r>
      <w:r w:rsidR="007D13C4">
        <w:t xml:space="preserve"> factors. </w:t>
      </w:r>
    </w:p>
    <w:p w14:paraId="7FFF87F0" w14:textId="353981E5" w:rsidR="00926C62" w:rsidRPr="00926C62" w:rsidRDefault="00600E61" w:rsidP="00A36DB7">
      <w:pPr>
        <w:pStyle w:val="BodyText"/>
      </w:pPr>
      <w:r>
        <w:t xml:space="preserve">In response, the Board acknowledged the shortcomings in its process, particularly the concerns about its record-keeping. The Board also commented that it had acted in good faith, and it remained of the view that threshold for </w:t>
      </w:r>
      <w:r w:rsidR="004D67B3" w:rsidRPr="00054A77">
        <w:rPr>
          <w:rStyle w:val="Quotationwithinthesentence"/>
        </w:rPr>
        <w:t>‘</w:t>
      </w:r>
      <w:r w:rsidRPr="00054A77">
        <w:rPr>
          <w:rStyle w:val="Quotationwithinthesentence"/>
        </w:rPr>
        <w:t>gross misconduct</w:t>
      </w:r>
      <w:r w:rsidR="004D67B3" w:rsidRPr="00054A77">
        <w:rPr>
          <w:rStyle w:val="Quotationwithinthesentence"/>
        </w:rPr>
        <w:t>’</w:t>
      </w:r>
      <w:r>
        <w:t xml:space="preserve"> was met by each of the students. </w:t>
      </w:r>
      <w:r w:rsidR="008567CA">
        <w:t>However, the Ombudsman considered that the decision-making p</w:t>
      </w:r>
      <w:r w:rsidR="009E1F6D">
        <w:t>rocess was fundamentally flawed. Given that the board did not pro</w:t>
      </w:r>
      <w:r w:rsidR="00384714">
        <w:t>perly contextualise the student</w:t>
      </w:r>
      <w:r w:rsidR="009E1F6D">
        <w:t>s</w:t>
      </w:r>
      <w:r w:rsidR="00384714">
        <w:t>’</w:t>
      </w:r>
      <w:r w:rsidR="009E1F6D">
        <w:t xml:space="preserve"> behaviour by considering all the circumstances, there </w:t>
      </w:r>
      <w:r w:rsidR="008567CA">
        <w:t xml:space="preserve">could be no confidence that the correct conclusion </w:t>
      </w:r>
      <w:r w:rsidR="009E1F6D">
        <w:t>was reached</w:t>
      </w:r>
      <w:r w:rsidR="00384714">
        <w:t xml:space="preserve">. The Ombudsman </w:t>
      </w:r>
      <w:r w:rsidR="00E36512">
        <w:t xml:space="preserve">was particularly concerned that the Board omitted to consider </w:t>
      </w:r>
      <w:r w:rsidR="00175753">
        <w:t xml:space="preserve">the </w:t>
      </w:r>
      <w:r w:rsidR="00E36512">
        <w:t xml:space="preserve">impact of its decisions on the educational wellbeing of the students. The Ombudsman </w:t>
      </w:r>
      <w:r w:rsidR="00384714">
        <w:t>encouraged the B</w:t>
      </w:r>
      <w:r w:rsidR="009E1F6D">
        <w:t xml:space="preserve">oard to reflect on the gravity of expelling a student, and the effect </w:t>
      </w:r>
      <w:r w:rsidR="009E1F6D" w:rsidRPr="009E1F6D">
        <w:rPr>
          <w:rFonts w:eastAsia="Calibri" w:cs="Times New Roman"/>
        </w:rPr>
        <w:t>on the students, their families, and their futures</w:t>
      </w:r>
      <w:r w:rsidR="009E1F6D">
        <w:rPr>
          <w:rFonts w:eastAsia="Calibri" w:cs="Times New Roman"/>
        </w:rPr>
        <w:t xml:space="preserve">. </w:t>
      </w:r>
      <w:r w:rsidR="00324B7A" w:rsidRPr="00324B7A">
        <w:rPr>
          <w:rFonts w:eastAsia="Calibri" w:cs="Times New Roman"/>
        </w:rPr>
        <w:t>The Ombudsman noted that the negative effects of expulsion (and exclusion) on students were long</w:t>
      </w:r>
      <w:r w:rsidR="003C2F6C">
        <w:rPr>
          <w:rFonts w:eastAsia="Calibri" w:cs="Times New Roman"/>
        </w:rPr>
        <w:t>-</w:t>
      </w:r>
      <w:r w:rsidR="00324B7A" w:rsidRPr="00324B7A">
        <w:rPr>
          <w:rFonts w:eastAsia="Calibri" w:cs="Times New Roman"/>
        </w:rPr>
        <w:t>lasting and well</w:t>
      </w:r>
      <w:r w:rsidR="003C2F6C">
        <w:rPr>
          <w:rFonts w:eastAsia="Calibri" w:cs="Times New Roman"/>
        </w:rPr>
        <w:t>-</w:t>
      </w:r>
      <w:r w:rsidR="00324B7A" w:rsidRPr="00324B7A">
        <w:rPr>
          <w:rFonts w:eastAsia="Calibri" w:cs="Times New Roman"/>
        </w:rPr>
        <w:t xml:space="preserve">recognised.  </w:t>
      </w:r>
      <w:r w:rsidR="009E1F6D">
        <w:rPr>
          <w:rFonts w:eastAsia="Calibri" w:cs="Times New Roman"/>
        </w:rPr>
        <w:t>The Ombudsman highlighted</w:t>
      </w:r>
      <w:r w:rsidR="009E1F6D" w:rsidRPr="009E1F6D">
        <w:rPr>
          <w:rFonts w:eastAsia="Calibri" w:cs="Times New Roman"/>
        </w:rPr>
        <w:t xml:space="preserve"> </w:t>
      </w:r>
      <w:r w:rsidR="009E1F6D">
        <w:rPr>
          <w:rFonts w:eastAsia="Calibri" w:cs="Times New Roman"/>
        </w:rPr>
        <w:t xml:space="preserve">that the </w:t>
      </w:r>
      <w:r w:rsidR="009E1F6D" w:rsidRPr="009E1F6D">
        <w:rPr>
          <w:rFonts w:eastAsia="Calibri" w:cs="Times New Roman"/>
        </w:rPr>
        <w:t>Ministry of Education</w:t>
      </w:r>
      <w:r w:rsidR="009E1F6D">
        <w:rPr>
          <w:rFonts w:eastAsia="Calibri" w:cs="Times New Roman"/>
        </w:rPr>
        <w:t xml:space="preserve"> guidance</w:t>
      </w:r>
      <w:r w:rsidR="009E1F6D" w:rsidRPr="009E1F6D">
        <w:rPr>
          <w:rFonts w:eastAsia="Calibri" w:cs="Times New Roman"/>
        </w:rPr>
        <w:t xml:space="preserve"> </w:t>
      </w:r>
      <w:r w:rsidR="009E1F6D">
        <w:rPr>
          <w:rFonts w:eastAsia="Calibri" w:cs="Times New Roman"/>
        </w:rPr>
        <w:t>refers to expulsion</w:t>
      </w:r>
      <w:r w:rsidR="009E1F6D" w:rsidRPr="009E1F6D">
        <w:rPr>
          <w:rFonts w:eastAsia="Calibri" w:cs="Times New Roman"/>
        </w:rPr>
        <w:t xml:space="preserve"> an </w:t>
      </w:r>
      <w:r w:rsidR="009E1F6D" w:rsidRPr="00054A77">
        <w:rPr>
          <w:rStyle w:val="Quotationwithinthesentence"/>
        </w:rPr>
        <w:t>‘act of last resort’</w:t>
      </w:r>
      <w:r w:rsidR="009E1F6D" w:rsidRPr="009E1F6D">
        <w:rPr>
          <w:rFonts w:eastAsia="Calibri" w:cs="Times New Roman"/>
        </w:rPr>
        <w:t>.</w:t>
      </w:r>
      <w:r w:rsidR="009E1F6D" w:rsidRPr="009E1F6D">
        <w:rPr>
          <w:rFonts w:eastAsia="Calibri" w:cs="Times New Roman"/>
          <w:vertAlign w:val="superscript"/>
        </w:rPr>
        <w:footnoteReference w:id="13"/>
      </w:r>
      <w:r w:rsidR="009E1F6D" w:rsidRPr="009E1F6D">
        <w:rPr>
          <w:rFonts w:eastAsia="Calibri" w:cs="Times New Roman"/>
        </w:rPr>
        <w:t xml:space="preserve"> </w:t>
      </w:r>
    </w:p>
    <w:p w14:paraId="69E52DD9" w14:textId="2175A5EB" w:rsidR="00E77A82" w:rsidRDefault="00E77A82" w:rsidP="007818A7">
      <w:pPr>
        <w:pStyle w:val="Heading1"/>
        <w:spacing w:after="240"/>
      </w:pPr>
      <w:r>
        <w:t>Outcome</w:t>
      </w:r>
    </w:p>
    <w:p w14:paraId="6833DD8B" w14:textId="5CDC95FA" w:rsidR="00FA17E4" w:rsidRDefault="001E6320" w:rsidP="00684971">
      <w:pPr>
        <w:pStyle w:val="Heading2"/>
        <w:numPr>
          <w:ilvl w:val="0"/>
          <w:numId w:val="0"/>
        </w:numPr>
        <w:spacing w:before="240"/>
        <w:rPr>
          <w:szCs w:val="24"/>
        </w:rPr>
      </w:pPr>
      <w:r w:rsidRPr="00684971">
        <w:rPr>
          <w:b w:val="0"/>
          <w:sz w:val="24"/>
          <w:szCs w:val="24"/>
        </w:rPr>
        <w:t>In both investigations</w:t>
      </w:r>
      <w:r w:rsidR="00A50DAC" w:rsidRPr="00684971">
        <w:rPr>
          <w:b w:val="0"/>
          <w:sz w:val="24"/>
          <w:szCs w:val="24"/>
        </w:rPr>
        <w:t>, the Ombudsman concluded that the omission of the Board to adequately reco</w:t>
      </w:r>
      <w:r w:rsidR="00292D83" w:rsidRPr="00684971">
        <w:rPr>
          <w:b w:val="0"/>
          <w:sz w:val="24"/>
          <w:szCs w:val="24"/>
        </w:rPr>
        <w:t>rd its decision-</w:t>
      </w:r>
      <w:r w:rsidR="00A50DAC" w:rsidRPr="00684971">
        <w:rPr>
          <w:b w:val="0"/>
          <w:sz w:val="24"/>
          <w:szCs w:val="24"/>
        </w:rPr>
        <w:t>making was unreasonable</w:t>
      </w:r>
      <w:r w:rsidR="00910B51" w:rsidRPr="00684971">
        <w:rPr>
          <w:b w:val="0"/>
          <w:sz w:val="24"/>
          <w:szCs w:val="24"/>
        </w:rPr>
        <w:t>. T</w:t>
      </w:r>
      <w:r w:rsidR="00A50DAC" w:rsidRPr="00684971">
        <w:rPr>
          <w:b w:val="0"/>
          <w:sz w:val="24"/>
          <w:szCs w:val="24"/>
        </w:rPr>
        <w:t>he</w:t>
      </w:r>
      <w:r w:rsidR="00A50DAC">
        <w:rPr>
          <w:b w:val="0"/>
          <w:sz w:val="24"/>
          <w:szCs w:val="24"/>
        </w:rPr>
        <w:t xml:space="preserve"> decisions to exclude and expel </w:t>
      </w:r>
      <w:r w:rsidR="00BC43F1">
        <w:rPr>
          <w:b w:val="0"/>
          <w:sz w:val="24"/>
          <w:szCs w:val="24"/>
        </w:rPr>
        <w:t xml:space="preserve">the students were </w:t>
      </w:r>
      <w:r w:rsidR="00F26131">
        <w:rPr>
          <w:b w:val="0"/>
          <w:sz w:val="24"/>
          <w:szCs w:val="24"/>
        </w:rPr>
        <w:t>held to be</w:t>
      </w:r>
      <w:r w:rsidR="00910B51">
        <w:rPr>
          <w:b w:val="0"/>
          <w:sz w:val="24"/>
          <w:szCs w:val="24"/>
        </w:rPr>
        <w:t xml:space="preserve"> </w:t>
      </w:r>
      <w:r w:rsidR="00BC43F1">
        <w:rPr>
          <w:b w:val="0"/>
          <w:sz w:val="24"/>
          <w:szCs w:val="24"/>
        </w:rPr>
        <w:t>unreasonable</w:t>
      </w:r>
      <w:r w:rsidR="00292D83">
        <w:rPr>
          <w:b w:val="0"/>
          <w:sz w:val="24"/>
          <w:szCs w:val="24"/>
        </w:rPr>
        <w:t xml:space="preserve"> in themselves</w:t>
      </w:r>
      <w:r w:rsidR="00BC43F1">
        <w:rPr>
          <w:b w:val="0"/>
          <w:sz w:val="24"/>
          <w:szCs w:val="24"/>
        </w:rPr>
        <w:t xml:space="preserve">. </w:t>
      </w:r>
      <w:r w:rsidR="00292D83">
        <w:rPr>
          <w:b w:val="0"/>
          <w:sz w:val="24"/>
          <w:szCs w:val="24"/>
        </w:rPr>
        <w:t>Overall, t</w:t>
      </w:r>
      <w:r w:rsidR="00910B51">
        <w:rPr>
          <w:b w:val="0"/>
          <w:sz w:val="24"/>
          <w:szCs w:val="24"/>
        </w:rPr>
        <w:t>he Ombudsman was not satisfied</w:t>
      </w:r>
      <w:r w:rsidR="00BC43F1">
        <w:rPr>
          <w:b w:val="0"/>
          <w:sz w:val="24"/>
          <w:szCs w:val="24"/>
        </w:rPr>
        <w:t xml:space="preserve"> that the Board had properly discharged its </w:t>
      </w:r>
      <w:r w:rsidR="00292D83">
        <w:rPr>
          <w:b w:val="0"/>
          <w:sz w:val="24"/>
          <w:szCs w:val="24"/>
        </w:rPr>
        <w:t xml:space="preserve">statutory </w:t>
      </w:r>
      <w:r w:rsidR="00BC43F1">
        <w:rPr>
          <w:b w:val="0"/>
          <w:sz w:val="24"/>
          <w:szCs w:val="24"/>
        </w:rPr>
        <w:t xml:space="preserve">function in reviewing the </w:t>
      </w:r>
      <w:r w:rsidR="003C2F6C">
        <w:rPr>
          <w:b w:val="0"/>
          <w:sz w:val="24"/>
          <w:szCs w:val="24"/>
        </w:rPr>
        <w:t>p</w:t>
      </w:r>
      <w:r w:rsidR="00BC43F1">
        <w:rPr>
          <w:b w:val="0"/>
          <w:sz w:val="24"/>
          <w:szCs w:val="24"/>
        </w:rPr>
        <w:t>rincipal’s earlier decision</w:t>
      </w:r>
      <w:r w:rsidR="000804E7">
        <w:rPr>
          <w:b w:val="0"/>
          <w:sz w:val="24"/>
          <w:szCs w:val="24"/>
        </w:rPr>
        <w:t>s</w:t>
      </w:r>
      <w:r w:rsidR="00BC43F1">
        <w:rPr>
          <w:b w:val="0"/>
          <w:sz w:val="24"/>
          <w:szCs w:val="24"/>
        </w:rPr>
        <w:t xml:space="preserve"> to suspend the students. </w:t>
      </w:r>
    </w:p>
    <w:p w14:paraId="65C61BEB" w14:textId="718DCE65" w:rsidR="00EA6ABD" w:rsidRPr="00FA17E4" w:rsidRDefault="00A50DAC" w:rsidP="00684971">
      <w:pPr>
        <w:pStyle w:val="Heading2"/>
        <w:numPr>
          <w:ilvl w:val="0"/>
          <w:numId w:val="0"/>
        </w:numPr>
        <w:spacing w:before="240"/>
        <w:rPr>
          <w:b w:val="0"/>
          <w:sz w:val="24"/>
          <w:szCs w:val="24"/>
        </w:rPr>
      </w:pPr>
      <w:r w:rsidRPr="00FA17E4">
        <w:rPr>
          <w:b w:val="0"/>
          <w:sz w:val="24"/>
          <w:szCs w:val="24"/>
        </w:rPr>
        <w:t>In investigation A, the Ombudsman recommend</w:t>
      </w:r>
      <w:r w:rsidR="00F57A0C" w:rsidRPr="00FA17E4">
        <w:rPr>
          <w:b w:val="0"/>
          <w:sz w:val="24"/>
          <w:szCs w:val="24"/>
        </w:rPr>
        <w:t>ed</w:t>
      </w:r>
      <w:r w:rsidRPr="00FA17E4">
        <w:rPr>
          <w:b w:val="0"/>
          <w:sz w:val="24"/>
          <w:szCs w:val="24"/>
        </w:rPr>
        <w:t xml:space="preserve"> that the Board:</w:t>
      </w:r>
    </w:p>
    <w:p w14:paraId="7C29F6FC" w14:textId="6AC0F08C" w:rsidR="00EA6ABD" w:rsidRPr="00E056A4" w:rsidRDefault="00EA6ABD" w:rsidP="00EA6ABD">
      <w:pPr>
        <w:pStyle w:val="Bullet1"/>
      </w:pPr>
      <w:r w:rsidRPr="00E056A4">
        <w:t>formally apologise to the studen</w:t>
      </w:r>
      <w:r>
        <w:t>t and their parents, and engage with them about</w:t>
      </w:r>
      <w:r w:rsidRPr="00E056A4">
        <w:t xml:space="preserve"> how </w:t>
      </w:r>
      <w:r w:rsidR="00497E92">
        <w:t xml:space="preserve">to </w:t>
      </w:r>
      <w:r w:rsidRPr="00E056A4">
        <w:t xml:space="preserve"> restore the student</w:t>
      </w:r>
      <w:r>
        <w:t>’</w:t>
      </w:r>
      <w:r w:rsidRPr="00E056A4">
        <w:t xml:space="preserve">s mana; </w:t>
      </w:r>
    </w:p>
    <w:p w14:paraId="70F521F9" w14:textId="77777777" w:rsidR="00EA6ABD" w:rsidRPr="00E056A4" w:rsidRDefault="00EA6ABD" w:rsidP="00EA6ABD">
      <w:pPr>
        <w:pStyle w:val="Bullet1"/>
      </w:pPr>
      <w:r w:rsidRPr="00E056A4">
        <w:t>offer to re-enrol the student at Bethlehem</w:t>
      </w:r>
      <w:r>
        <w:t xml:space="preserve"> College</w:t>
      </w:r>
      <w:r w:rsidRPr="00E056A4">
        <w:t xml:space="preserve">; </w:t>
      </w:r>
    </w:p>
    <w:p w14:paraId="07253430" w14:textId="77777777" w:rsidR="00EA6ABD" w:rsidRPr="00E056A4" w:rsidRDefault="00EA6ABD" w:rsidP="00EA6ABD">
      <w:pPr>
        <w:pStyle w:val="Bullet1"/>
      </w:pPr>
      <w:r w:rsidRPr="00E056A4">
        <w:t xml:space="preserve">attach a copy of the Ombudsman’s opinion to the student’s exclusion record; and </w:t>
      </w:r>
    </w:p>
    <w:p w14:paraId="2C27BF3C" w14:textId="36A75CD8" w:rsidR="004F04DC" w:rsidRPr="00684971" w:rsidRDefault="00FA17E4" w:rsidP="00684971">
      <w:pPr>
        <w:pStyle w:val="Bullet1"/>
        <w:rPr>
          <w:rFonts w:eastAsia="Calibri" w:cs="Times New Roman"/>
          <w:b/>
          <w:szCs w:val="24"/>
        </w:rPr>
      </w:pPr>
      <w:r>
        <w:t>review</w:t>
      </w:r>
      <w:r w:rsidR="00EA6ABD" w:rsidRPr="00E056A4">
        <w:t xml:space="preserve"> Bethlehem</w:t>
      </w:r>
      <w:r w:rsidR="00EA6ABD">
        <w:t xml:space="preserve"> College</w:t>
      </w:r>
      <w:r w:rsidR="00EA6ABD" w:rsidRPr="00E056A4">
        <w:t>’s record-keeping policies regarding disciplinary matters.</w:t>
      </w:r>
    </w:p>
    <w:p w14:paraId="3D2639A5" w14:textId="2BA841B6" w:rsidR="000F30BA" w:rsidRPr="003E6C9D" w:rsidRDefault="004F04DC" w:rsidP="00E77A82">
      <w:pPr>
        <w:pStyle w:val="BodyText"/>
        <w:rPr>
          <w:szCs w:val="24"/>
        </w:rPr>
      </w:pPr>
      <w:r>
        <w:t>In i</w:t>
      </w:r>
      <w:r w:rsidR="00AC1AEB" w:rsidRPr="003E6C9D">
        <w:rPr>
          <w:szCs w:val="24"/>
        </w:rPr>
        <w:t xml:space="preserve">nvestigation </w:t>
      </w:r>
      <w:r>
        <w:rPr>
          <w:szCs w:val="24"/>
        </w:rPr>
        <w:t>B</w:t>
      </w:r>
      <w:r w:rsidR="00497E92">
        <w:t xml:space="preserve">, the Ombudsman </w:t>
      </w:r>
      <w:r w:rsidR="00B17DDF">
        <w:t xml:space="preserve">recommended the </w:t>
      </w:r>
      <w:r w:rsidR="000F30BA">
        <w:t>B</w:t>
      </w:r>
      <w:r w:rsidR="00B17DDF">
        <w:t>oard</w:t>
      </w:r>
      <w:r w:rsidR="000F30BA">
        <w:t>:</w:t>
      </w:r>
    </w:p>
    <w:p w14:paraId="3B289A76" w14:textId="0A2C113D" w:rsidR="000F30BA" w:rsidRDefault="000F30BA" w:rsidP="00E23B10">
      <w:pPr>
        <w:pStyle w:val="Bullet1"/>
      </w:pPr>
      <w:r w:rsidRPr="00E056A4">
        <w:t>formally apologise to the studen</w:t>
      </w:r>
      <w:r>
        <w:t>ts and their families;</w:t>
      </w:r>
      <w:r w:rsidR="00CD77AC">
        <w:t xml:space="preserve"> and </w:t>
      </w:r>
    </w:p>
    <w:p w14:paraId="3860FEEF" w14:textId="5059244B" w:rsidR="000F30BA" w:rsidRPr="00E056A4" w:rsidRDefault="000F30BA" w:rsidP="000F30BA">
      <w:pPr>
        <w:pStyle w:val="Bullet1"/>
      </w:pPr>
      <w:r w:rsidRPr="00E056A4">
        <w:t xml:space="preserve">attach a copy of the Ombudsman’s opinion </w:t>
      </w:r>
      <w:r>
        <w:t>and the apology letters to the student</w:t>
      </w:r>
      <w:r w:rsidRPr="00E056A4">
        <w:t>s</w:t>
      </w:r>
      <w:r w:rsidR="008B1472">
        <w:t>’</w:t>
      </w:r>
      <w:r w:rsidRPr="00E056A4">
        <w:t xml:space="preserve"> </w:t>
      </w:r>
      <w:r w:rsidR="005C69F8">
        <w:t>exclusion/</w:t>
      </w:r>
      <w:r w:rsidRPr="00E056A4">
        <w:t>ex</w:t>
      </w:r>
      <w:r w:rsidR="004F5B5B">
        <w:t>pulsion</w:t>
      </w:r>
      <w:r w:rsidRPr="00E056A4">
        <w:t xml:space="preserve"> record</w:t>
      </w:r>
      <w:r>
        <w:t>s</w:t>
      </w:r>
      <w:r w:rsidR="00CD77AC">
        <w:t xml:space="preserve">. </w:t>
      </w:r>
    </w:p>
    <w:p w14:paraId="136D2926" w14:textId="15728837" w:rsidR="00FA17E4" w:rsidRDefault="00CD77AC" w:rsidP="00FA17E4">
      <w:pPr>
        <w:pStyle w:val="Bullet1"/>
        <w:numPr>
          <w:ilvl w:val="0"/>
          <w:numId w:val="0"/>
        </w:numPr>
      </w:pPr>
      <w:r>
        <w:t xml:space="preserve">The Ombudsman also recommended that the Board </w:t>
      </w:r>
      <w:r w:rsidR="00497E92">
        <w:t xml:space="preserve">publish information about </w:t>
      </w:r>
      <w:r w:rsidR="000F30BA">
        <w:t>the</w:t>
      </w:r>
      <w:r w:rsidR="00910B51">
        <w:t xml:space="preserve"> </w:t>
      </w:r>
      <w:r w:rsidR="000F30BA">
        <w:t>investigation</w:t>
      </w:r>
      <w:r>
        <w:t>s</w:t>
      </w:r>
      <w:r w:rsidR="000F30BA">
        <w:t xml:space="preserve"> in </w:t>
      </w:r>
      <w:r w:rsidR="001E6320">
        <w:t xml:space="preserve">a notice in </w:t>
      </w:r>
      <w:r w:rsidR="000F30BA">
        <w:t xml:space="preserve">the </w:t>
      </w:r>
      <w:r w:rsidR="003C2F6C">
        <w:t>c</w:t>
      </w:r>
      <w:r w:rsidR="004F04DC">
        <w:t>ollege</w:t>
      </w:r>
      <w:r w:rsidR="000F30BA">
        <w:t xml:space="preserve"> newsletter</w:t>
      </w:r>
      <w:r w:rsidR="00910B51">
        <w:t>. The notice should</w:t>
      </w:r>
      <w:r w:rsidR="001E6320">
        <w:t xml:space="preserve"> </w:t>
      </w:r>
      <w:r w:rsidR="003816E8">
        <w:t xml:space="preserve">briefly </w:t>
      </w:r>
      <w:r w:rsidR="001E6320">
        <w:t>outline the Ombudsman’</w:t>
      </w:r>
      <w:r>
        <w:t>s</w:t>
      </w:r>
      <w:r w:rsidR="001E6320">
        <w:t xml:space="preserve"> </w:t>
      </w:r>
      <w:r w:rsidR="00910B51">
        <w:t xml:space="preserve">findings against the Board </w:t>
      </w:r>
      <w:r w:rsidR="001E6320">
        <w:t xml:space="preserve">and state that </w:t>
      </w:r>
      <w:r w:rsidR="000F30BA">
        <w:t>parents may complain to the Ombudsman if they have complaints about the Board.</w:t>
      </w:r>
      <w:r w:rsidR="00FA17E4">
        <w:t xml:space="preserve"> </w:t>
      </w:r>
    </w:p>
    <w:p w14:paraId="5EB42741" w14:textId="113E8240" w:rsidR="006A3F62" w:rsidRPr="00F112F5" w:rsidRDefault="00F112F5" w:rsidP="00FA17E4">
      <w:pPr>
        <w:pStyle w:val="Bullet1"/>
        <w:numPr>
          <w:ilvl w:val="0"/>
          <w:numId w:val="0"/>
        </w:numPr>
      </w:pPr>
      <w:r>
        <w:t xml:space="preserve">The Board accepted and implemented the recommendations. </w:t>
      </w:r>
    </w:p>
    <w:p w14:paraId="3B952B9F" w14:textId="77777777" w:rsidR="004D67B3" w:rsidRDefault="004D67B3" w:rsidP="004D67B3">
      <w:pPr>
        <w:pStyle w:val="Heading1"/>
        <w:numPr>
          <w:ilvl w:val="0"/>
          <w:numId w:val="31"/>
        </w:numPr>
        <w:rPr>
          <w:sz w:val="28"/>
        </w:rPr>
      </w:pPr>
      <w:r>
        <w:rPr>
          <w:sz w:val="28"/>
        </w:rPr>
        <w:t>Disclaimer</w:t>
      </w:r>
    </w:p>
    <w:p w14:paraId="14050DFF" w14:textId="7B34521B" w:rsidR="003160E5" w:rsidRDefault="003160E5" w:rsidP="003160E5">
      <w:pPr>
        <w:pStyle w:val="BodyText"/>
        <w:rPr>
          <w:rStyle w:val="Italics"/>
        </w:rPr>
      </w:pPr>
      <w:r w:rsidRPr="003160E5">
        <w:rPr>
          <w:rStyle w:val="Italics"/>
        </w:rPr>
        <w:t xml:space="preserve">This case note is published under the authority of the </w:t>
      </w:r>
      <w:hyperlink r:id="rId10"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w:t>
      </w:r>
      <w:bookmarkStart w:id="0" w:name="_GoBack"/>
      <w:bookmarkEnd w:id="0"/>
      <w:r w:rsidRPr="003160E5">
        <w:rPr>
          <w:rStyle w:val="Italics"/>
        </w:rPr>
        <w:t>nt that would bind an Ombudsman in future.</w:t>
      </w:r>
    </w:p>
    <w:sectPr w:rsidR="003160E5" w:rsidSect="00F417F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6D942" w14:textId="77777777" w:rsidR="00915349" w:rsidRPr="00D45126" w:rsidRDefault="00915349" w:rsidP="00554FCD">
      <w:pPr>
        <w:spacing w:after="0" w:line="240" w:lineRule="auto"/>
        <w:rPr>
          <w:color w:val="4D4D4D"/>
        </w:rPr>
      </w:pPr>
      <w:r w:rsidRPr="00D45126">
        <w:rPr>
          <w:color w:val="4D4D4D"/>
        </w:rPr>
        <w:separator/>
      </w:r>
    </w:p>
  </w:endnote>
  <w:endnote w:type="continuationSeparator" w:id="0">
    <w:p w14:paraId="05C59EA8" w14:textId="77777777" w:rsidR="00915349" w:rsidRPr="00D45126" w:rsidRDefault="00915349" w:rsidP="00554FCD">
      <w:pPr>
        <w:spacing w:after="0" w:line="240" w:lineRule="auto"/>
        <w:rPr>
          <w:color w:val="4D4D4D"/>
        </w:rPr>
      </w:pPr>
      <w:r w:rsidRPr="00D45126">
        <w:rPr>
          <w:color w:val="4D4D4D"/>
        </w:rPr>
        <w:continuationSeparator/>
      </w:r>
    </w:p>
  </w:endnote>
  <w:endnote w:type="continuationNotice" w:id="1">
    <w:p w14:paraId="66E91B49" w14:textId="77777777" w:rsidR="00915349" w:rsidRDefault="00915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8840" w14:textId="77777777" w:rsidR="00846F89" w:rsidRDefault="0084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0A90" w14:textId="77777777" w:rsidR="00002C56" w:rsidRPr="0059155D" w:rsidRDefault="00002C56" w:rsidP="00B81F45">
    <w:pPr>
      <w:pStyle w:val="Footerline"/>
    </w:pPr>
  </w:p>
  <w:p w14:paraId="07791F84" w14:textId="77777777" w:rsidR="00002C56" w:rsidRPr="0059155D" w:rsidRDefault="00002C56" w:rsidP="00B81F45">
    <w:pPr>
      <w:pStyle w:val="Footerline"/>
    </w:pPr>
  </w:p>
  <w:p w14:paraId="4CBABF54" w14:textId="517A912E" w:rsidR="00002C56" w:rsidRPr="005533D8" w:rsidRDefault="00915349" w:rsidP="00B81F45">
    <w:pPr>
      <w:pStyle w:val="Footer"/>
    </w:pPr>
    <w:r>
      <w:fldChar w:fldCharType="begin"/>
    </w:r>
    <w:r>
      <w:instrText xml:space="preserve"> DOCVARIABLE  dvShortText </w:instrText>
    </w:r>
    <w:r>
      <w:fldChar w:fldCharType="separate"/>
    </w:r>
    <w:r w:rsidR="00152308">
      <w:t>Case note |</w:t>
    </w:r>
    <w:r>
      <w:fldChar w:fldCharType="end"/>
    </w:r>
    <w:r w:rsidR="00002C56">
      <w:t xml:space="preserve"> Page </w:t>
    </w:r>
    <w:r w:rsidR="00002C56" w:rsidRPr="00A32286">
      <w:rPr>
        <w:rStyle w:val="PageNumber"/>
      </w:rPr>
      <w:fldChar w:fldCharType="begin"/>
    </w:r>
    <w:r w:rsidR="00002C56" w:rsidRPr="00A32286">
      <w:rPr>
        <w:rStyle w:val="PageNumber"/>
      </w:rPr>
      <w:instrText xml:space="preserve"> PAGE   \* MERGEFORMAT </w:instrText>
    </w:r>
    <w:r w:rsidR="00002C56" w:rsidRPr="00A32286">
      <w:rPr>
        <w:rStyle w:val="PageNumber"/>
      </w:rPr>
      <w:fldChar w:fldCharType="separate"/>
    </w:r>
    <w:r w:rsidR="00012B6C">
      <w:rPr>
        <w:rStyle w:val="PageNumber"/>
        <w:noProof/>
      </w:rPr>
      <w:t>6</w:t>
    </w:r>
    <w:r w:rsidR="00002C56"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20EF" w14:textId="77777777" w:rsidR="00002C56" w:rsidRPr="0059155D" w:rsidRDefault="00002C56" w:rsidP="00AA3322">
    <w:pPr>
      <w:pStyle w:val="Footerline"/>
    </w:pPr>
  </w:p>
  <w:p w14:paraId="4BA62BCB" w14:textId="77777777" w:rsidR="00002C56" w:rsidRPr="0059155D" w:rsidRDefault="00002C56" w:rsidP="00AA3322">
    <w:pPr>
      <w:pStyle w:val="Footerline"/>
    </w:pPr>
  </w:p>
  <w:p w14:paraId="40EAE2B6" w14:textId="5BA31A22" w:rsidR="00002C56" w:rsidRPr="005533D8" w:rsidRDefault="00915349" w:rsidP="00AA3322">
    <w:pPr>
      <w:pStyle w:val="Footer"/>
    </w:pPr>
    <w:r>
      <w:fldChar w:fldCharType="begin"/>
    </w:r>
    <w:r>
      <w:instrText xml:space="preserve"> DOCVARIABLE  dvShortText </w:instrText>
    </w:r>
    <w:r>
      <w:fldChar w:fldCharType="separate"/>
    </w:r>
    <w:r w:rsidR="00152308">
      <w:t>Case note |</w:t>
    </w:r>
    <w:r>
      <w:fldChar w:fldCharType="end"/>
    </w:r>
    <w:r w:rsidR="00002C56">
      <w:t xml:space="preserve"> Page </w:t>
    </w:r>
    <w:r w:rsidR="00002C56" w:rsidRPr="00A32286">
      <w:rPr>
        <w:rStyle w:val="PageNumber"/>
      </w:rPr>
      <w:fldChar w:fldCharType="begin"/>
    </w:r>
    <w:r w:rsidR="00002C56" w:rsidRPr="00A32286">
      <w:rPr>
        <w:rStyle w:val="PageNumber"/>
      </w:rPr>
      <w:instrText xml:space="preserve"> PAGE   \* MERGEFORMAT </w:instrText>
    </w:r>
    <w:r w:rsidR="00002C56" w:rsidRPr="00A32286">
      <w:rPr>
        <w:rStyle w:val="PageNumber"/>
      </w:rPr>
      <w:fldChar w:fldCharType="separate"/>
    </w:r>
    <w:r>
      <w:rPr>
        <w:rStyle w:val="PageNumber"/>
        <w:noProof/>
      </w:rPr>
      <w:t>1</w:t>
    </w:r>
    <w:r w:rsidR="00002C56"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5849" w14:textId="77777777" w:rsidR="00915349" w:rsidRPr="00D45126" w:rsidRDefault="00915349" w:rsidP="00257DA0">
      <w:pPr>
        <w:spacing w:after="0" w:line="240" w:lineRule="auto"/>
        <w:rPr>
          <w:color w:val="4D4D4D"/>
        </w:rPr>
      </w:pPr>
      <w:r w:rsidRPr="00D45126">
        <w:rPr>
          <w:color w:val="4D4D4D"/>
        </w:rPr>
        <w:separator/>
      </w:r>
    </w:p>
  </w:footnote>
  <w:footnote w:type="continuationSeparator" w:id="0">
    <w:p w14:paraId="2E665146" w14:textId="77777777" w:rsidR="00915349" w:rsidRPr="00C14083" w:rsidRDefault="00915349" w:rsidP="00554FCD">
      <w:pPr>
        <w:spacing w:after="0" w:line="240" w:lineRule="auto"/>
        <w:rPr>
          <w:color w:val="4D4D4D"/>
        </w:rPr>
      </w:pPr>
      <w:r w:rsidRPr="00C14083">
        <w:rPr>
          <w:color w:val="4D4D4D"/>
        </w:rPr>
        <w:continuationSeparator/>
      </w:r>
    </w:p>
  </w:footnote>
  <w:footnote w:type="continuationNotice" w:id="1">
    <w:p w14:paraId="4C34AF90" w14:textId="77777777" w:rsidR="00915349" w:rsidRDefault="00915349">
      <w:pPr>
        <w:spacing w:after="0" w:line="240" w:lineRule="auto"/>
      </w:pPr>
    </w:p>
  </w:footnote>
  <w:footnote w:id="2">
    <w:p w14:paraId="0E466268" w14:textId="7754DE59" w:rsidR="00454B56" w:rsidRDefault="00454B56">
      <w:pPr>
        <w:pStyle w:val="FootnoteText"/>
      </w:pPr>
      <w:r>
        <w:rPr>
          <w:rStyle w:val="FootnoteReference"/>
        </w:rPr>
        <w:footnoteRef/>
      </w:r>
      <w:r>
        <w:t xml:space="preserve"> </w:t>
      </w:r>
      <w:r>
        <w:tab/>
        <w:t xml:space="preserve">Exclusion refers to the formal removal of a student aged under 16 years old from the school, and the requirement that the student is enrolled elsewhere. </w:t>
      </w:r>
    </w:p>
  </w:footnote>
  <w:footnote w:id="3">
    <w:p w14:paraId="4108090E" w14:textId="69A1DFEA" w:rsidR="00AC53CE" w:rsidRDefault="00AC53CE">
      <w:pPr>
        <w:pStyle w:val="FootnoteText"/>
      </w:pPr>
      <w:r>
        <w:rPr>
          <w:rStyle w:val="FootnoteReference"/>
        </w:rPr>
        <w:footnoteRef/>
      </w:r>
      <w:r>
        <w:t xml:space="preserve"> </w:t>
      </w:r>
      <w:r>
        <w:tab/>
        <w:t xml:space="preserve">Expulsion refers to the formal removal of a student aged over 16 years old from the school, with the optional enrolment of the student elsewhere. </w:t>
      </w:r>
    </w:p>
  </w:footnote>
  <w:footnote w:id="4">
    <w:p w14:paraId="7CF0DADB" w14:textId="7612B376" w:rsidR="009211F6" w:rsidRDefault="009211F6" w:rsidP="009211F6">
      <w:pPr>
        <w:pStyle w:val="FootnoteText"/>
      </w:pPr>
      <w:r>
        <w:rPr>
          <w:rStyle w:val="FootnoteReference"/>
        </w:rPr>
        <w:footnoteRef/>
      </w:r>
      <w:r>
        <w:t xml:space="preserve"> </w:t>
      </w:r>
      <w:r>
        <w:tab/>
      </w:r>
      <w:r w:rsidRPr="009211F6">
        <w:t xml:space="preserve">The Act incorporates and replaces the Education Acts 1964 and 1989. The Act retains large parts of existing education legislation, subject to various updates, including those that relate to school discipline. </w:t>
      </w:r>
    </w:p>
  </w:footnote>
  <w:footnote w:id="5">
    <w:p w14:paraId="2F1C1106" w14:textId="427E38CD" w:rsidR="007E0C9D" w:rsidRDefault="00002C56" w:rsidP="007E0C9D">
      <w:pPr>
        <w:pStyle w:val="FootnoteText"/>
      </w:pPr>
      <w:r>
        <w:rPr>
          <w:rStyle w:val="FootnoteReference"/>
        </w:rPr>
        <w:footnoteRef/>
      </w:r>
      <w:r>
        <w:t xml:space="preserve"> </w:t>
      </w:r>
      <w:r>
        <w:tab/>
        <w:t>Ministry of Education, ‘</w:t>
      </w:r>
      <w:hyperlink r:id="rId1" w:history="1">
        <w:r w:rsidR="0019456D" w:rsidRPr="0019456D">
          <w:rPr>
            <w:rStyle w:val="Hyperlink"/>
          </w:rPr>
          <w:t>https://www.education.govt.nz/school/managing-and-supporting-students/student-behaviour-help-and-guidance/stand-downs-suspensions-exclusions-and-expulsions-guidelines/</w:t>
        </w:r>
      </w:hyperlink>
      <w:r w:rsidR="00D944B4">
        <w:t>’(</w:t>
      </w:r>
      <w:r w:rsidR="000B1A00">
        <w:t>‘</w:t>
      </w:r>
      <w:r w:rsidR="00D944B4">
        <w:t>Guidelines</w:t>
      </w:r>
      <w:r w:rsidR="0019456D">
        <w:t xml:space="preserve"> </w:t>
      </w:r>
      <w:r w:rsidR="007E0C9D">
        <w:t>Part 1’).</w:t>
      </w:r>
    </w:p>
  </w:footnote>
  <w:footnote w:id="6">
    <w:p w14:paraId="2983A4D6" w14:textId="77777777" w:rsidR="00002C56" w:rsidRDefault="00002C56" w:rsidP="002806BD">
      <w:pPr>
        <w:pStyle w:val="FootnoteText"/>
      </w:pPr>
      <w:r>
        <w:rPr>
          <w:rStyle w:val="FootnoteReference"/>
        </w:rPr>
        <w:footnoteRef/>
      </w:r>
      <w:r>
        <w:t xml:space="preserve"> </w:t>
      </w:r>
      <w:r>
        <w:tab/>
      </w:r>
      <w:r w:rsidRPr="007A3803">
        <w:t>M &amp; Anor v S &amp; Board of Trustees of Pal</w:t>
      </w:r>
      <w:r>
        <w:t>merston North Boys’ High School</w:t>
      </w:r>
      <w:r w:rsidRPr="007A3803">
        <w:t xml:space="preserve"> [2003] NZAR 705, 712 (decided 5 December 1990).</w:t>
      </w:r>
    </w:p>
  </w:footnote>
  <w:footnote w:id="7">
    <w:p w14:paraId="3A577D2F" w14:textId="58F2EEE3" w:rsidR="00002C56" w:rsidRPr="008262BC" w:rsidRDefault="00002C56" w:rsidP="00D47F1E">
      <w:pPr>
        <w:pStyle w:val="FootnoteText"/>
        <w:rPr>
          <w:rFonts w:eastAsia="Calibri" w:cs="Times New Roman"/>
        </w:rPr>
      </w:pPr>
      <w:r>
        <w:rPr>
          <w:rStyle w:val="FootnoteReference"/>
        </w:rPr>
        <w:footnoteRef/>
      </w:r>
      <w:r>
        <w:t xml:space="preserve"> </w:t>
      </w:r>
      <w:r>
        <w:tab/>
      </w:r>
      <w:r w:rsidR="0019456D" w:rsidRPr="005372D0">
        <w:t>Guidelines</w:t>
      </w:r>
      <w:r w:rsidR="007B09EB">
        <w:rPr>
          <w:rFonts w:eastAsia="Calibri" w:cs="Times New Roman"/>
        </w:rPr>
        <w:t>, Part 1</w:t>
      </w:r>
      <w:r w:rsidRPr="008262BC">
        <w:rPr>
          <w:rFonts w:eastAsia="Calibri" w:cs="Times New Roman"/>
        </w:rPr>
        <w:t>, para 96, p 18.</w:t>
      </w:r>
    </w:p>
  </w:footnote>
  <w:footnote w:id="8">
    <w:p w14:paraId="7881F891" w14:textId="7AC36349" w:rsidR="00002C56" w:rsidRDefault="00002C56" w:rsidP="00002C56">
      <w:pPr>
        <w:pStyle w:val="FootnoteText"/>
      </w:pPr>
      <w:r>
        <w:rPr>
          <w:rStyle w:val="FootnoteReference"/>
        </w:rPr>
        <w:footnoteRef/>
      </w:r>
      <w:r w:rsidR="007B09EB">
        <w:t xml:space="preserve"> </w:t>
      </w:r>
      <w:r w:rsidR="007B09EB">
        <w:tab/>
      </w:r>
      <w:r w:rsidR="0019456D" w:rsidRPr="005372D0">
        <w:t>Guidelines,</w:t>
      </w:r>
      <w:r w:rsidR="007B09EB">
        <w:t xml:space="preserve"> Part 1</w:t>
      </w:r>
      <w:r>
        <w:t>, para 97, p 18.</w:t>
      </w:r>
    </w:p>
  </w:footnote>
  <w:footnote w:id="9">
    <w:p w14:paraId="2F6E65D6" w14:textId="7CDA918A" w:rsidR="007D2CDA" w:rsidRDefault="007D2CDA">
      <w:pPr>
        <w:pStyle w:val="FootnoteText"/>
      </w:pPr>
      <w:r>
        <w:rPr>
          <w:rStyle w:val="FootnoteReference"/>
        </w:rPr>
        <w:footnoteRef/>
      </w:r>
      <w:r>
        <w:t xml:space="preserve"> </w:t>
      </w:r>
      <w:r>
        <w:tab/>
        <w:t>T</w:t>
      </w:r>
      <w:r w:rsidRPr="007D2CDA">
        <w:t>he Ombudsman was uncertain whether the school had taken adequate steps to support the student’s behavioural issues and learning needs in the months leading up to his suspension</w:t>
      </w:r>
      <w:r w:rsidR="00292D83">
        <w:t xml:space="preserve"> and t</w:t>
      </w:r>
      <w:r w:rsidRPr="007D2CDA">
        <w:t>here was no Individualised Education Plan in place despite the apparent need for learning support</w:t>
      </w:r>
      <w:r w:rsidR="009E6250">
        <w:t xml:space="preserve">. </w:t>
      </w:r>
      <w:r w:rsidR="009E6250" w:rsidRPr="009E6250">
        <w:t>The Ombudsman also observed that it was not clear whether the principal ha</w:t>
      </w:r>
      <w:r w:rsidR="00F024AF">
        <w:t>d</w:t>
      </w:r>
      <w:r w:rsidR="009E6250" w:rsidRPr="009E6250">
        <w:t xml:space="preserve"> adhered to the requirement under section 103 of the Act that that students are provided with good guidance and counselling, and that parents are informed of issues harming the student’s progress or relationships at school</w:t>
      </w:r>
      <w:r w:rsidR="00F024AF">
        <w:t>.</w:t>
      </w:r>
    </w:p>
  </w:footnote>
  <w:footnote w:id="10">
    <w:p w14:paraId="6D960591" w14:textId="093A6AEC" w:rsidR="00996EEE" w:rsidRDefault="00996EEE" w:rsidP="00996EEE">
      <w:pPr>
        <w:pStyle w:val="FootnoteText"/>
      </w:pPr>
      <w:r>
        <w:rPr>
          <w:rStyle w:val="FootnoteReference"/>
        </w:rPr>
        <w:footnoteRef/>
      </w:r>
      <w:r>
        <w:t xml:space="preserve"> </w:t>
      </w:r>
      <w:r>
        <w:tab/>
      </w:r>
      <w:r w:rsidR="0019456D" w:rsidRPr="005372D0">
        <w:t>Guidelines</w:t>
      </w:r>
      <w:r w:rsidR="00D944B4" w:rsidRPr="00D944B4">
        <w:t xml:space="preserve"> Part 1</w:t>
      </w:r>
      <w:r w:rsidR="00D944B4">
        <w:t xml:space="preserve">, </w:t>
      </w:r>
      <w:r w:rsidR="00390EF9">
        <w:t>para 92, p 18</w:t>
      </w:r>
      <w:r w:rsidR="00390EF9" w:rsidRPr="00390EF9">
        <w:t>.</w:t>
      </w:r>
    </w:p>
  </w:footnote>
  <w:footnote w:id="11">
    <w:p w14:paraId="03D04332" w14:textId="714B2D37" w:rsidR="00A52B9B" w:rsidRDefault="00A52B9B">
      <w:pPr>
        <w:pStyle w:val="FootnoteText"/>
      </w:pPr>
      <w:r>
        <w:rPr>
          <w:rStyle w:val="FootnoteReference"/>
        </w:rPr>
        <w:footnoteRef/>
      </w:r>
      <w:r>
        <w:t xml:space="preserve"> </w:t>
      </w:r>
      <w:r>
        <w:tab/>
        <w:t xml:space="preserve">The group included students under and over the age of 16 years. </w:t>
      </w:r>
    </w:p>
  </w:footnote>
  <w:footnote w:id="12">
    <w:p w14:paraId="4533639C" w14:textId="4A57EAD1" w:rsidR="00FF3823" w:rsidRDefault="00FF3823">
      <w:pPr>
        <w:pStyle w:val="FootnoteText"/>
      </w:pPr>
      <w:r>
        <w:rPr>
          <w:rStyle w:val="FootnoteReference"/>
        </w:rPr>
        <w:footnoteRef/>
      </w:r>
      <w:r>
        <w:t xml:space="preserve"> </w:t>
      </w:r>
      <w:r>
        <w:tab/>
      </w:r>
      <w:r w:rsidRPr="00FF3823">
        <w:t>Investigation B also included a fo</w:t>
      </w:r>
      <w:r w:rsidR="00F024AF">
        <w:t>u</w:t>
      </w:r>
      <w:r w:rsidRPr="00FF3823">
        <w:t>rth complaint about how the Board responded to a complaint about how the College investigated concerns about a student’s behaviour. This complaint was upheld and the Ombudsman recommended that the Board provide a more detailed response to the student’s family about their concerns</w:t>
      </w:r>
      <w:r>
        <w:t>.</w:t>
      </w:r>
    </w:p>
  </w:footnote>
  <w:footnote w:id="13">
    <w:p w14:paraId="0FD41B06" w14:textId="0A8DE1B0" w:rsidR="00002C56" w:rsidRPr="00B24681" w:rsidRDefault="00002C56" w:rsidP="004D67B3">
      <w:pPr>
        <w:pStyle w:val="FootnoteText"/>
        <w:rPr>
          <w:lang w:val="en-US"/>
        </w:rPr>
      </w:pPr>
      <w:r>
        <w:rPr>
          <w:rStyle w:val="FootnoteReference"/>
        </w:rPr>
        <w:footnoteRef/>
      </w:r>
      <w:r>
        <w:t xml:space="preserve"> </w:t>
      </w:r>
      <w:r w:rsidR="00384714">
        <w:tab/>
      </w:r>
      <w:r w:rsidR="000B6B07" w:rsidRPr="000B6B07">
        <w:t>Ministry of Education, ‘</w:t>
      </w:r>
      <w:hyperlink r:id="rId2" w:history="1">
        <w:r w:rsidR="000B6B07" w:rsidRPr="000B6B07">
          <w:rPr>
            <w:rStyle w:val="Hyperlink"/>
          </w:rPr>
          <w:t>Good Practice Guidelines for principals and boards of trustees for managing behaviour that may or may not lead to stand-downs, suspensions, exclusions and expulsions’</w:t>
        </w:r>
      </w:hyperlink>
      <w:r w:rsidR="000B6B07" w:rsidRPr="000B6B07">
        <w:t xml:space="preserve">, </w:t>
      </w:r>
      <w:r w:rsidR="000B6B07">
        <w:t>Part 11, page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EA9F" w14:textId="77777777" w:rsidR="00846F89" w:rsidRDefault="00846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0118" w14:textId="77777777" w:rsidR="00002C56" w:rsidRDefault="00002C56" w:rsidP="00B81F45">
    <w:pPr>
      <w:pStyle w:val="Header"/>
      <w:tabs>
        <w:tab w:val="clear" w:pos="9299"/>
        <w:tab w:val="right" w:pos="9321"/>
      </w:tabs>
      <w:rPr>
        <w:rStyle w:val="PageNumber"/>
      </w:rPr>
    </w:pPr>
    <w:r>
      <w:t xml:space="preserve">Office of the Ombudsman | </w:t>
    </w:r>
    <w:r w:rsidRPr="00DD54DF">
      <w:t>Tari o te Kaitiaki Mana Tangata</w:t>
    </w:r>
  </w:p>
  <w:p w14:paraId="6D4CA585" w14:textId="77777777" w:rsidR="00002C56" w:rsidRPr="00661EC9" w:rsidRDefault="00002C56"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3DEE" w14:textId="77777777" w:rsidR="00002C56" w:rsidRDefault="00002C56">
    <w:pPr>
      <w:pStyle w:val="Header"/>
    </w:pPr>
    <w:r w:rsidRPr="00F417FD">
      <w:rPr>
        <w:noProof/>
        <w:lang w:eastAsia="en-NZ"/>
      </w:rPr>
      <w:drawing>
        <wp:anchor distT="0" distB="0" distL="114300" distR="114300" simplePos="0" relativeHeight="251659264" behindDoc="0" locked="0" layoutInCell="1" allowOverlap="1" wp14:anchorId="3A870D76" wp14:editId="6A1C3F02">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True"/>
    <w:docVar w:name="IsInTable" w:val="False"/>
    <w:docVar w:name="OOTOTemplate" w:val="OOTO General\Case note.dotm"/>
  </w:docVars>
  <w:rsids>
    <w:rsidRoot w:val="0040226E"/>
    <w:rsid w:val="00000AEE"/>
    <w:rsid w:val="0000164C"/>
    <w:rsid w:val="00002C56"/>
    <w:rsid w:val="00002E2B"/>
    <w:rsid w:val="000048D2"/>
    <w:rsid w:val="0000771B"/>
    <w:rsid w:val="000100D7"/>
    <w:rsid w:val="00011074"/>
    <w:rsid w:val="00012B6C"/>
    <w:rsid w:val="00013791"/>
    <w:rsid w:val="0001507F"/>
    <w:rsid w:val="00021382"/>
    <w:rsid w:val="00024F53"/>
    <w:rsid w:val="00026A3B"/>
    <w:rsid w:val="000273F0"/>
    <w:rsid w:val="000328E9"/>
    <w:rsid w:val="00032A75"/>
    <w:rsid w:val="00035821"/>
    <w:rsid w:val="00040F52"/>
    <w:rsid w:val="00041615"/>
    <w:rsid w:val="000419C3"/>
    <w:rsid w:val="000435B1"/>
    <w:rsid w:val="00045FD7"/>
    <w:rsid w:val="00046B63"/>
    <w:rsid w:val="00050123"/>
    <w:rsid w:val="00050DF5"/>
    <w:rsid w:val="00052845"/>
    <w:rsid w:val="00053114"/>
    <w:rsid w:val="00054A77"/>
    <w:rsid w:val="00057C4D"/>
    <w:rsid w:val="00061EE3"/>
    <w:rsid w:val="00064CFD"/>
    <w:rsid w:val="00065881"/>
    <w:rsid w:val="000804E7"/>
    <w:rsid w:val="000822C8"/>
    <w:rsid w:val="00084FC2"/>
    <w:rsid w:val="000929F9"/>
    <w:rsid w:val="00093C9D"/>
    <w:rsid w:val="00094D1D"/>
    <w:rsid w:val="0009569A"/>
    <w:rsid w:val="000965D2"/>
    <w:rsid w:val="00097211"/>
    <w:rsid w:val="00097E3A"/>
    <w:rsid w:val="000A084B"/>
    <w:rsid w:val="000A18DA"/>
    <w:rsid w:val="000A1A30"/>
    <w:rsid w:val="000A39DB"/>
    <w:rsid w:val="000A4639"/>
    <w:rsid w:val="000A56A9"/>
    <w:rsid w:val="000B1A00"/>
    <w:rsid w:val="000B2A71"/>
    <w:rsid w:val="000B43C3"/>
    <w:rsid w:val="000B60ED"/>
    <w:rsid w:val="000B6B07"/>
    <w:rsid w:val="000C145E"/>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0BA"/>
    <w:rsid w:val="000F32C4"/>
    <w:rsid w:val="000F358E"/>
    <w:rsid w:val="000F496B"/>
    <w:rsid w:val="000F4A8C"/>
    <w:rsid w:val="000F5D79"/>
    <w:rsid w:val="000F766D"/>
    <w:rsid w:val="00100392"/>
    <w:rsid w:val="001059C0"/>
    <w:rsid w:val="00106AAF"/>
    <w:rsid w:val="00106B3D"/>
    <w:rsid w:val="001110B8"/>
    <w:rsid w:val="0011146D"/>
    <w:rsid w:val="00113C57"/>
    <w:rsid w:val="00114C6B"/>
    <w:rsid w:val="00114C7F"/>
    <w:rsid w:val="00115706"/>
    <w:rsid w:val="00123968"/>
    <w:rsid w:val="00134987"/>
    <w:rsid w:val="00140996"/>
    <w:rsid w:val="00140DAC"/>
    <w:rsid w:val="0014341D"/>
    <w:rsid w:val="00144C1B"/>
    <w:rsid w:val="00150AD4"/>
    <w:rsid w:val="00151F5B"/>
    <w:rsid w:val="00152308"/>
    <w:rsid w:val="00157E61"/>
    <w:rsid w:val="001602AB"/>
    <w:rsid w:val="00160E82"/>
    <w:rsid w:val="001621D1"/>
    <w:rsid w:val="001643FB"/>
    <w:rsid w:val="00166C30"/>
    <w:rsid w:val="00167506"/>
    <w:rsid w:val="0017216A"/>
    <w:rsid w:val="001753BE"/>
    <w:rsid w:val="00175753"/>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456D"/>
    <w:rsid w:val="001954BF"/>
    <w:rsid w:val="001968B6"/>
    <w:rsid w:val="00197401"/>
    <w:rsid w:val="001A1600"/>
    <w:rsid w:val="001A16AF"/>
    <w:rsid w:val="001A265F"/>
    <w:rsid w:val="001A415D"/>
    <w:rsid w:val="001A4C19"/>
    <w:rsid w:val="001B155A"/>
    <w:rsid w:val="001B1DCE"/>
    <w:rsid w:val="001B2F94"/>
    <w:rsid w:val="001B31CF"/>
    <w:rsid w:val="001B688C"/>
    <w:rsid w:val="001B7EC1"/>
    <w:rsid w:val="001C12AF"/>
    <w:rsid w:val="001C256C"/>
    <w:rsid w:val="001C7F14"/>
    <w:rsid w:val="001E067E"/>
    <w:rsid w:val="001E16D0"/>
    <w:rsid w:val="001E6320"/>
    <w:rsid w:val="001E7646"/>
    <w:rsid w:val="001E795E"/>
    <w:rsid w:val="001F08E5"/>
    <w:rsid w:val="001F0C1C"/>
    <w:rsid w:val="001F0E26"/>
    <w:rsid w:val="001F14C5"/>
    <w:rsid w:val="001F20AE"/>
    <w:rsid w:val="001F5B62"/>
    <w:rsid w:val="001F6FC1"/>
    <w:rsid w:val="00200C37"/>
    <w:rsid w:val="00204247"/>
    <w:rsid w:val="00210377"/>
    <w:rsid w:val="0021064F"/>
    <w:rsid w:val="002151BC"/>
    <w:rsid w:val="00217F95"/>
    <w:rsid w:val="00220309"/>
    <w:rsid w:val="00221110"/>
    <w:rsid w:val="00221D0F"/>
    <w:rsid w:val="00222EA0"/>
    <w:rsid w:val="00224421"/>
    <w:rsid w:val="00227CD2"/>
    <w:rsid w:val="0023071A"/>
    <w:rsid w:val="00230FF4"/>
    <w:rsid w:val="00237679"/>
    <w:rsid w:val="002429AB"/>
    <w:rsid w:val="00245ACC"/>
    <w:rsid w:val="00251056"/>
    <w:rsid w:val="00251456"/>
    <w:rsid w:val="00253466"/>
    <w:rsid w:val="002539A9"/>
    <w:rsid w:val="00257DA0"/>
    <w:rsid w:val="00262294"/>
    <w:rsid w:val="0026242B"/>
    <w:rsid w:val="00263B2F"/>
    <w:rsid w:val="00270EC8"/>
    <w:rsid w:val="0027214C"/>
    <w:rsid w:val="00272307"/>
    <w:rsid w:val="0027244F"/>
    <w:rsid w:val="00272886"/>
    <w:rsid w:val="00272EB5"/>
    <w:rsid w:val="00274E49"/>
    <w:rsid w:val="002806BD"/>
    <w:rsid w:val="00280BA8"/>
    <w:rsid w:val="002819FD"/>
    <w:rsid w:val="00283493"/>
    <w:rsid w:val="00283CAD"/>
    <w:rsid w:val="00283D2D"/>
    <w:rsid w:val="00283D4E"/>
    <w:rsid w:val="00283F3B"/>
    <w:rsid w:val="002841A8"/>
    <w:rsid w:val="00284AD7"/>
    <w:rsid w:val="00284C51"/>
    <w:rsid w:val="00284FD7"/>
    <w:rsid w:val="002917E8"/>
    <w:rsid w:val="00292161"/>
    <w:rsid w:val="00292D83"/>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0D91"/>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11A2"/>
    <w:rsid w:val="00313ABD"/>
    <w:rsid w:val="003160E5"/>
    <w:rsid w:val="00316CF6"/>
    <w:rsid w:val="00317D8B"/>
    <w:rsid w:val="00320E2B"/>
    <w:rsid w:val="00321801"/>
    <w:rsid w:val="00321D36"/>
    <w:rsid w:val="00324B7A"/>
    <w:rsid w:val="00334979"/>
    <w:rsid w:val="003374ED"/>
    <w:rsid w:val="00342CEE"/>
    <w:rsid w:val="003448E6"/>
    <w:rsid w:val="003516B6"/>
    <w:rsid w:val="0035363B"/>
    <w:rsid w:val="0035756E"/>
    <w:rsid w:val="0036078D"/>
    <w:rsid w:val="00360D47"/>
    <w:rsid w:val="003612FC"/>
    <w:rsid w:val="00363187"/>
    <w:rsid w:val="003636DB"/>
    <w:rsid w:val="00364282"/>
    <w:rsid w:val="00367A88"/>
    <w:rsid w:val="00371B5E"/>
    <w:rsid w:val="003723B3"/>
    <w:rsid w:val="00373DCE"/>
    <w:rsid w:val="0037732A"/>
    <w:rsid w:val="0037742F"/>
    <w:rsid w:val="00377D53"/>
    <w:rsid w:val="003808C4"/>
    <w:rsid w:val="003816E8"/>
    <w:rsid w:val="00381FBC"/>
    <w:rsid w:val="00382244"/>
    <w:rsid w:val="00383159"/>
    <w:rsid w:val="003832EA"/>
    <w:rsid w:val="00383460"/>
    <w:rsid w:val="00384714"/>
    <w:rsid w:val="00385BCC"/>
    <w:rsid w:val="00385F42"/>
    <w:rsid w:val="00390EF9"/>
    <w:rsid w:val="00393E54"/>
    <w:rsid w:val="00396770"/>
    <w:rsid w:val="003967AB"/>
    <w:rsid w:val="003A1465"/>
    <w:rsid w:val="003A4539"/>
    <w:rsid w:val="003A4EB3"/>
    <w:rsid w:val="003A597B"/>
    <w:rsid w:val="003A7C2D"/>
    <w:rsid w:val="003B46E7"/>
    <w:rsid w:val="003B66EC"/>
    <w:rsid w:val="003C1714"/>
    <w:rsid w:val="003C2059"/>
    <w:rsid w:val="003C2F6C"/>
    <w:rsid w:val="003D02D4"/>
    <w:rsid w:val="003D139D"/>
    <w:rsid w:val="003D5A28"/>
    <w:rsid w:val="003D6A2B"/>
    <w:rsid w:val="003D7D3A"/>
    <w:rsid w:val="003E19E9"/>
    <w:rsid w:val="003E433B"/>
    <w:rsid w:val="003E4400"/>
    <w:rsid w:val="003E51DA"/>
    <w:rsid w:val="003E5BC8"/>
    <w:rsid w:val="003E6107"/>
    <w:rsid w:val="003E6C9D"/>
    <w:rsid w:val="003E7D56"/>
    <w:rsid w:val="003F0032"/>
    <w:rsid w:val="003F0E79"/>
    <w:rsid w:val="003F3280"/>
    <w:rsid w:val="003F7B31"/>
    <w:rsid w:val="00400410"/>
    <w:rsid w:val="0040226E"/>
    <w:rsid w:val="00404C91"/>
    <w:rsid w:val="00405E1E"/>
    <w:rsid w:val="00406000"/>
    <w:rsid w:val="004061BA"/>
    <w:rsid w:val="00406339"/>
    <w:rsid w:val="00410181"/>
    <w:rsid w:val="004118FD"/>
    <w:rsid w:val="00411A78"/>
    <w:rsid w:val="004213E5"/>
    <w:rsid w:val="0042225C"/>
    <w:rsid w:val="00424DBC"/>
    <w:rsid w:val="004302DE"/>
    <w:rsid w:val="00431860"/>
    <w:rsid w:val="00433038"/>
    <w:rsid w:val="00433F89"/>
    <w:rsid w:val="00440DBD"/>
    <w:rsid w:val="004423C7"/>
    <w:rsid w:val="00442610"/>
    <w:rsid w:val="004426B5"/>
    <w:rsid w:val="00444678"/>
    <w:rsid w:val="00444754"/>
    <w:rsid w:val="00452CEF"/>
    <w:rsid w:val="00454B56"/>
    <w:rsid w:val="00462213"/>
    <w:rsid w:val="00464DEF"/>
    <w:rsid w:val="00465438"/>
    <w:rsid w:val="004674D9"/>
    <w:rsid w:val="00467645"/>
    <w:rsid w:val="004752AF"/>
    <w:rsid w:val="00480400"/>
    <w:rsid w:val="004808E4"/>
    <w:rsid w:val="00485E2C"/>
    <w:rsid w:val="004873B4"/>
    <w:rsid w:val="004903E8"/>
    <w:rsid w:val="00491852"/>
    <w:rsid w:val="0049294C"/>
    <w:rsid w:val="004938CA"/>
    <w:rsid w:val="00493EE8"/>
    <w:rsid w:val="00494124"/>
    <w:rsid w:val="004978CE"/>
    <w:rsid w:val="00497E92"/>
    <w:rsid w:val="004A2B8E"/>
    <w:rsid w:val="004A3DD0"/>
    <w:rsid w:val="004A5E3E"/>
    <w:rsid w:val="004A60D8"/>
    <w:rsid w:val="004A63CB"/>
    <w:rsid w:val="004A717A"/>
    <w:rsid w:val="004B0646"/>
    <w:rsid w:val="004B1CFB"/>
    <w:rsid w:val="004B3108"/>
    <w:rsid w:val="004B5B00"/>
    <w:rsid w:val="004B5C04"/>
    <w:rsid w:val="004B6762"/>
    <w:rsid w:val="004B6DF7"/>
    <w:rsid w:val="004C748E"/>
    <w:rsid w:val="004D3A9D"/>
    <w:rsid w:val="004D4947"/>
    <w:rsid w:val="004D4CCB"/>
    <w:rsid w:val="004D601A"/>
    <w:rsid w:val="004D6360"/>
    <w:rsid w:val="004D67B3"/>
    <w:rsid w:val="004D7B61"/>
    <w:rsid w:val="004E37DF"/>
    <w:rsid w:val="004E4498"/>
    <w:rsid w:val="004E73B7"/>
    <w:rsid w:val="004E791A"/>
    <w:rsid w:val="004F04DC"/>
    <w:rsid w:val="004F143B"/>
    <w:rsid w:val="004F5787"/>
    <w:rsid w:val="004F5B5B"/>
    <w:rsid w:val="0050347A"/>
    <w:rsid w:val="00503E51"/>
    <w:rsid w:val="005054E0"/>
    <w:rsid w:val="005102D8"/>
    <w:rsid w:val="00512CAE"/>
    <w:rsid w:val="00512D27"/>
    <w:rsid w:val="00515585"/>
    <w:rsid w:val="00515C43"/>
    <w:rsid w:val="00517AD4"/>
    <w:rsid w:val="00520431"/>
    <w:rsid w:val="0052262C"/>
    <w:rsid w:val="00531D23"/>
    <w:rsid w:val="0053285B"/>
    <w:rsid w:val="0053394E"/>
    <w:rsid w:val="0053560C"/>
    <w:rsid w:val="00536479"/>
    <w:rsid w:val="005372D0"/>
    <w:rsid w:val="005409E7"/>
    <w:rsid w:val="00541023"/>
    <w:rsid w:val="00541DA0"/>
    <w:rsid w:val="00546792"/>
    <w:rsid w:val="00553834"/>
    <w:rsid w:val="00554A4C"/>
    <w:rsid w:val="00554E50"/>
    <w:rsid w:val="00554FCD"/>
    <w:rsid w:val="00561DA3"/>
    <w:rsid w:val="005661BE"/>
    <w:rsid w:val="005671A5"/>
    <w:rsid w:val="00570439"/>
    <w:rsid w:val="00570CA3"/>
    <w:rsid w:val="005719C4"/>
    <w:rsid w:val="00573D48"/>
    <w:rsid w:val="00574533"/>
    <w:rsid w:val="0057577D"/>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A3E2D"/>
    <w:rsid w:val="005B1169"/>
    <w:rsid w:val="005B6E2F"/>
    <w:rsid w:val="005B7F25"/>
    <w:rsid w:val="005C4DB4"/>
    <w:rsid w:val="005C69F8"/>
    <w:rsid w:val="005C76DD"/>
    <w:rsid w:val="005C7BA2"/>
    <w:rsid w:val="005D03D0"/>
    <w:rsid w:val="005D053D"/>
    <w:rsid w:val="005D525E"/>
    <w:rsid w:val="005D686B"/>
    <w:rsid w:val="005E1DEC"/>
    <w:rsid w:val="005E1F34"/>
    <w:rsid w:val="005E2932"/>
    <w:rsid w:val="005E4F3A"/>
    <w:rsid w:val="005E50C7"/>
    <w:rsid w:val="005F1945"/>
    <w:rsid w:val="005F3344"/>
    <w:rsid w:val="005F4281"/>
    <w:rsid w:val="005F43B4"/>
    <w:rsid w:val="005F70F0"/>
    <w:rsid w:val="00600E61"/>
    <w:rsid w:val="00604BDC"/>
    <w:rsid w:val="00606871"/>
    <w:rsid w:val="00606D72"/>
    <w:rsid w:val="006077BF"/>
    <w:rsid w:val="00607EC0"/>
    <w:rsid w:val="0061020F"/>
    <w:rsid w:val="00610FD3"/>
    <w:rsid w:val="00611376"/>
    <w:rsid w:val="00611625"/>
    <w:rsid w:val="006120A8"/>
    <w:rsid w:val="00615CE0"/>
    <w:rsid w:val="00616CEE"/>
    <w:rsid w:val="00617F04"/>
    <w:rsid w:val="00621FD1"/>
    <w:rsid w:val="0062506B"/>
    <w:rsid w:val="006279D4"/>
    <w:rsid w:val="00627B34"/>
    <w:rsid w:val="00627E11"/>
    <w:rsid w:val="00631B80"/>
    <w:rsid w:val="00640FA7"/>
    <w:rsid w:val="00644A97"/>
    <w:rsid w:val="00644B46"/>
    <w:rsid w:val="00645C96"/>
    <w:rsid w:val="0064708D"/>
    <w:rsid w:val="006473DE"/>
    <w:rsid w:val="006535F1"/>
    <w:rsid w:val="00655FF5"/>
    <w:rsid w:val="0066078A"/>
    <w:rsid w:val="00661FBB"/>
    <w:rsid w:val="00663F4C"/>
    <w:rsid w:val="0067015F"/>
    <w:rsid w:val="0067318E"/>
    <w:rsid w:val="006741F1"/>
    <w:rsid w:val="00674454"/>
    <w:rsid w:val="006744C4"/>
    <w:rsid w:val="0067485E"/>
    <w:rsid w:val="00681279"/>
    <w:rsid w:val="006820B3"/>
    <w:rsid w:val="006842AB"/>
    <w:rsid w:val="00684971"/>
    <w:rsid w:val="00684E32"/>
    <w:rsid w:val="00685B6A"/>
    <w:rsid w:val="00687159"/>
    <w:rsid w:val="00691335"/>
    <w:rsid w:val="00691803"/>
    <w:rsid w:val="006920D5"/>
    <w:rsid w:val="00696ABF"/>
    <w:rsid w:val="00697F10"/>
    <w:rsid w:val="006A05F7"/>
    <w:rsid w:val="006A12AA"/>
    <w:rsid w:val="006A3F62"/>
    <w:rsid w:val="006A5545"/>
    <w:rsid w:val="006A5CB2"/>
    <w:rsid w:val="006B2165"/>
    <w:rsid w:val="006B2725"/>
    <w:rsid w:val="006B4123"/>
    <w:rsid w:val="006B72A6"/>
    <w:rsid w:val="006C3811"/>
    <w:rsid w:val="006C3851"/>
    <w:rsid w:val="006C3FF6"/>
    <w:rsid w:val="006D1417"/>
    <w:rsid w:val="006D1717"/>
    <w:rsid w:val="006D17A0"/>
    <w:rsid w:val="006D2120"/>
    <w:rsid w:val="006D78E8"/>
    <w:rsid w:val="006E05C4"/>
    <w:rsid w:val="006E104C"/>
    <w:rsid w:val="006E190D"/>
    <w:rsid w:val="006E1BFE"/>
    <w:rsid w:val="006E5E11"/>
    <w:rsid w:val="006F1C9F"/>
    <w:rsid w:val="006F2DED"/>
    <w:rsid w:val="006F438F"/>
    <w:rsid w:val="006F51DC"/>
    <w:rsid w:val="007012C8"/>
    <w:rsid w:val="00703C65"/>
    <w:rsid w:val="00710CB9"/>
    <w:rsid w:val="00712C05"/>
    <w:rsid w:val="00714679"/>
    <w:rsid w:val="00715819"/>
    <w:rsid w:val="00717711"/>
    <w:rsid w:val="00717A58"/>
    <w:rsid w:val="00717B0B"/>
    <w:rsid w:val="00717E4F"/>
    <w:rsid w:val="0072077B"/>
    <w:rsid w:val="0072182C"/>
    <w:rsid w:val="007232B6"/>
    <w:rsid w:val="00723D66"/>
    <w:rsid w:val="007251D7"/>
    <w:rsid w:val="0072665E"/>
    <w:rsid w:val="0073150C"/>
    <w:rsid w:val="0073197D"/>
    <w:rsid w:val="00733DAC"/>
    <w:rsid w:val="00734E9C"/>
    <w:rsid w:val="00735E70"/>
    <w:rsid w:val="007370C8"/>
    <w:rsid w:val="0073772C"/>
    <w:rsid w:val="0074125A"/>
    <w:rsid w:val="00743E91"/>
    <w:rsid w:val="007440CF"/>
    <w:rsid w:val="00753648"/>
    <w:rsid w:val="007539DA"/>
    <w:rsid w:val="007603AF"/>
    <w:rsid w:val="00760461"/>
    <w:rsid w:val="00763D2B"/>
    <w:rsid w:val="00764619"/>
    <w:rsid w:val="007676F9"/>
    <w:rsid w:val="007730F0"/>
    <w:rsid w:val="00773694"/>
    <w:rsid w:val="0077590F"/>
    <w:rsid w:val="00776236"/>
    <w:rsid w:val="00776A46"/>
    <w:rsid w:val="00777829"/>
    <w:rsid w:val="0078036A"/>
    <w:rsid w:val="00780970"/>
    <w:rsid w:val="00780D07"/>
    <w:rsid w:val="007818A7"/>
    <w:rsid w:val="00782CAA"/>
    <w:rsid w:val="007842BB"/>
    <w:rsid w:val="007930AE"/>
    <w:rsid w:val="0079659E"/>
    <w:rsid w:val="007A0E41"/>
    <w:rsid w:val="007A2673"/>
    <w:rsid w:val="007A36C0"/>
    <w:rsid w:val="007A395C"/>
    <w:rsid w:val="007A6586"/>
    <w:rsid w:val="007A6F0A"/>
    <w:rsid w:val="007A7020"/>
    <w:rsid w:val="007A74A0"/>
    <w:rsid w:val="007B09EB"/>
    <w:rsid w:val="007B4F3B"/>
    <w:rsid w:val="007B755F"/>
    <w:rsid w:val="007C3BDA"/>
    <w:rsid w:val="007C52E2"/>
    <w:rsid w:val="007C5CD4"/>
    <w:rsid w:val="007C679B"/>
    <w:rsid w:val="007C7995"/>
    <w:rsid w:val="007C7FD1"/>
    <w:rsid w:val="007D13C4"/>
    <w:rsid w:val="007D2CDA"/>
    <w:rsid w:val="007D3C1B"/>
    <w:rsid w:val="007D4081"/>
    <w:rsid w:val="007D5753"/>
    <w:rsid w:val="007D76FD"/>
    <w:rsid w:val="007E01D2"/>
    <w:rsid w:val="007E0C9D"/>
    <w:rsid w:val="007E1397"/>
    <w:rsid w:val="007E58A0"/>
    <w:rsid w:val="007E6360"/>
    <w:rsid w:val="007F4A99"/>
    <w:rsid w:val="007F760D"/>
    <w:rsid w:val="007F7946"/>
    <w:rsid w:val="00800219"/>
    <w:rsid w:val="0080047F"/>
    <w:rsid w:val="0080145D"/>
    <w:rsid w:val="00802414"/>
    <w:rsid w:val="00803CA9"/>
    <w:rsid w:val="008116D3"/>
    <w:rsid w:val="00812748"/>
    <w:rsid w:val="00813521"/>
    <w:rsid w:val="00813A70"/>
    <w:rsid w:val="00820C9C"/>
    <w:rsid w:val="008242EE"/>
    <w:rsid w:val="00825420"/>
    <w:rsid w:val="00825D06"/>
    <w:rsid w:val="008262BC"/>
    <w:rsid w:val="00830680"/>
    <w:rsid w:val="00831A4E"/>
    <w:rsid w:val="00831EBB"/>
    <w:rsid w:val="00833247"/>
    <w:rsid w:val="0083353D"/>
    <w:rsid w:val="00837EA6"/>
    <w:rsid w:val="008403F0"/>
    <w:rsid w:val="008429D3"/>
    <w:rsid w:val="00844DB1"/>
    <w:rsid w:val="00844F64"/>
    <w:rsid w:val="00846794"/>
    <w:rsid w:val="00846D79"/>
    <w:rsid w:val="00846F89"/>
    <w:rsid w:val="008567CA"/>
    <w:rsid w:val="00860B01"/>
    <w:rsid w:val="00861C91"/>
    <w:rsid w:val="0087091C"/>
    <w:rsid w:val="00872924"/>
    <w:rsid w:val="008841B5"/>
    <w:rsid w:val="00884716"/>
    <w:rsid w:val="00887AA8"/>
    <w:rsid w:val="0089080C"/>
    <w:rsid w:val="00892DF8"/>
    <w:rsid w:val="00893A27"/>
    <w:rsid w:val="00896D19"/>
    <w:rsid w:val="008A593E"/>
    <w:rsid w:val="008B0D20"/>
    <w:rsid w:val="008B0F15"/>
    <w:rsid w:val="008B1472"/>
    <w:rsid w:val="008B1687"/>
    <w:rsid w:val="008B1A1F"/>
    <w:rsid w:val="008B3D95"/>
    <w:rsid w:val="008B3DAA"/>
    <w:rsid w:val="008B4AAA"/>
    <w:rsid w:val="008B76D2"/>
    <w:rsid w:val="008C3437"/>
    <w:rsid w:val="008C7455"/>
    <w:rsid w:val="008C75BA"/>
    <w:rsid w:val="008D2D01"/>
    <w:rsid w:val="008D349D"/>
    <w:rsid w:val="008D7744"/>
    <w:rsid w:val="008E0636"/>
    <w:rsid w:val="008E0999"/>
    <w:rsid w:val="008E186D"/>
    <w:rsid w:val="008E1EF0"/>
    <w:rsid w:val="008E6C86"/>
    <w:rsid w:val="008F17E0"/>
    <w:rsid w:val="008F2893"/>
    <w:rsid w:val="008F36EC"/>
    <w:rsid w:val="008F614F"/>
    <w:rsid w:val="008F746D"/>
    <w:rsid w:val="00903FCC"/>
    <w:rsid w:val="00910B51"/>
    <w:rsid w:val="009135B5"/>
    <w:rsid w:val="00915349"/>
    <w:rsid w:val="0092033B"/>
    <w:rsid w:val="009203C6"/>
    <w:rsid w:val="009211F6"/>
    <w:rsid w:val="00923ED7"/>
    <w:rsid w:val="0092445C"/>
    <w:rsid w:val="00926C62"/>
    <w:rsid w:val="009300E6"/>
    <w:rsid w:val="009319DE"/>
    <w:rsid w:val="00934224"/>
    <w:rsid w:val="00934443"/>
    <w:rsid w:val="0093534C"/>
    <w:rsid w:val="00935540"/>
    <w:rsid w:val="00936C1D"/>
    <w:rsid w:val="009401E4"/>
    <w:rsid w:val="00941882"/>
    <w:rsid w:val="00941FBA"/>
    <w:rsid w:val="00942420"/>
    <w:rsid w:val="009438B5"/>
    <w:rsid w:val="0094461F"/>
    <w:rsid w:val="00944B48"/>
    <w:rsid w:val="00946D1C"/>
    <w:rsid w:val="009639D4"/>
    <w:rsid w:val="009673FC"/>
    <w:rsid w:val="00967D11"/>
    <w:rsid w:val="00970955"/>
    <w:rsid w:val="00971749"/>
    <w:rsid w:val="00971D0C"/>
    <w:rsid w:val="0097336F"/>
    <w:rsid w:val="00974ABE"/>
    <w:rsid w:val="009779D9"/>
    <w:rsid w:val="00981DFE"/>
    <w:rsid w:val="009826E4"/>
    <w:rsid w:val="009903F1"/>
    <w:rsid w:val="009909DF"/>
    <w:rsid w:val="0099196C"/>
    <w:rsid w:val="0099197D"/>
    <w:rsid w:val="00991F34"/>
    <w:rsid w:val="00991F64"/>
    <w:rsid w:val="00993F1A"/>
    <w:rsid w:val="00994CBB"/>
    <w:rsid w:val="009954CB"/>
    <w:rsid w:val="00995755"/>
    <w:rsid w:val="00996EEE"/>
    <w:rsid w:val="009A66D4"/>
    <w:rsid w:val="009B47B9"/>
    <w:rsid w:val="009C1083"/>
    <w:rsid w:val="009C1890"/>
    <w:rsid w:val="009C3499"/>
    <w:rsid w:val="009C375B"/>
    <w:rsid w:val="009C4723"/>
    <w:rsid w:val="009C61A7"/>
    <w:rsid w:val="009D6259"/>
    <w:rsid w:val="009E1F6D"/>
    <w:rsid w:val="009E2446"/>
    <w:rsid w:val="009E3199"/>
    <w:rsid w:val="009E6250"/>
    <w:rsid w:val="009E78E3"/>
    <w:rsid w:val="009F0996"/>
    <w:rsid w:val="009F261A"/>
    <w:rsid w:val="009F4E72"/>
    <w:rsid w:val="009F5C3C"/>
    <w:rsid w:val="009F68AD"/>
    <w:rsid w:val="00A004F0"/>
    <w:rsid w:val="00A0089C"/>
    <w:rsid w:val="00A01B68"/>
    <w:rsid w:val="00A1091A"/>
    <w:rsid w:val="00A13B4E"/>
    <w:rsid w:val="00A13DA1"/>
    <w:rsid w:val="00A14A9B"/>
    <w:rsid w:val="00A14DEB"/>
    <w:rsid w:val="00A16974"/>
    <w:rsid w:val="00A23242"/>
    <w:rsid w:val="00A30994"/>
    <w:rsid w:val="00A31D26"/>
    <w:rsid w:val="00A333DF"/>
    <w:rsid w:val="00A34057"/>
    <w:rsid w:val="00A34706"/>
    <w:rsid w:val="00A366ED"/>
    <w:rsid w:val="00A36DB7"/>
    <w:rsid w:val="00A4087E"/>
    <w:rsid w:val="00A4109A"/>
    <w:rsid w:val="00A442D7"/>
    <w:rsid w:val="00A45E94"/>
    <w:rsid w:val="00A47F79"/>
    <w:rsid w:val="00A50DAC"/>
    <w:rsid w:val="00A511A1"/>
    <w:rsid w:val="00A52B9B"/>
    <w:rsid w:val="00A52EBD"/>
    <w:rsid w:val="00A5469F"/>
    <w:rsid w:val="00A60F61"/>
    <w:rsid w:val="00A6506D"/>
    <w:rsid w:val="00A6655D"/>
    <w:rsid w:val="00A66569"/>
    <w:rsid w:val="00A7093F"/>
    <w:rsid w:val="00A76E5D"/>
    <w:rsid w:val="00A800F7"/>
    <w:rsid w:val="00A80669"/>
    <w:rsid w:val="00A818A6"/>
    <w:rsid w:val="00A83027"/>
    <w:rsid w:val="00A83F11"/>
    <w:rsid w:val="00A86138"/>
    <w:rsid w:val="00A86F4E"/>
    <w:rsid w:val="00A92148"/>
    <w:rsid w:val="00A92165"/>
    <w:rsid w:val="00A9721F"/>
    <w:rsid w:val="00AA188D"/>
    <w:rsid w:val="00AA3322"/>
    <w:rsid w:val="00AA4FC3"/>
    <w:rsid w:val="00AA6D42"/>
    <w:rsid w:val="00AA7176"/>
    <w:rsid w:val="00AA73B6"/>
    <w:rsid w:val="00AB2618"/>
    <w:rsid w:val="00AB3608"/>
    <w:rsid w:val="00AB5978"/>
    <w:rsid w:val="00AB6894"/>
    <w:rsid w:val="00AB74CE"/>
    <w:rsid w:val="00AC0259"/>
    <w:rsid w:val="00AC1AEB"/>
    <w:rsid w:val="00AC53CE"/>
    <w:rsid w:val="00AC5726"/>
    <w:rsid w:val="00AC7F7D"/>
    <w:rsid w:val="00AD0350"/>
    <w:rsid w:val="00AD230F"/>
    <w:rsid w:val="00AD27AE"/>
    <w:rsid w:val="00AD2CF5"/>
    <w:rsid w:val="00AD6A30"/>
    <w:rsid w:val="00AE0D71"/>
    <w:rsid w:val="00AE4AA9"/>
    <w:rsid w:val="00AE4F25"/>
    <w:rsid w:val="00AF00EA"/>
    <w:rsid w:val="00B0060F"/>
    <w:rsid w:val="00B03939"/>
    <w:rsid w:val="00B04193"/>
    <w:rsid w:val="00B07607"/>
    <w:rsid w:val="00B11D76"/>
    <w:rsid w:val="00B12CFF"/>
    <w:rsid w:val="00B12F2E"/>
    <w:rsid w:val="00B137A7"/>
    <w:rsid w:val="00B13DC3"/>
    <w:rsid w:val="00B15375"/>
    <w:rsid w:val="00B163F1"/>
    <w:rsid w:val="00B170E0"/>
    <w:rsid w:val="00B175AA"/>
    <w:rsid w:val="00B17D95"/>
    <w:rsid w:val="00B17DDF"/>
    <w:rsid w:val="00B21033"/>
    <w:rsid w:val="00B21778"/>
    <w:rsid w:val="00B2480C"/>
    <w:rsid w:val="00B3033C"/>
    <w:rsid w:val="00B31C12"/>
    <w:rsid w:val="00B32513"/>
    <w:rsid w:val="00B331A2"/>
    <w:rsid w:val="00B3509C"/>
    <w:rsid w:val="00B35C03"/>
    <w:rsid w:val="00B372EF"/>
    <w:rsid w:val="00B40B34"/>
    <w:rsid w:val="00B40E8C"/>
    <w:rsid w:val="00B41235"/>
    <w:rsid w:val="00B47034"/>
    <w:rsid w:val="00B47E06"/>
    <w:rsid w:val="00B52654"/>
    <w:rsid w:val="00B52EA2"/>
    <w:rsid w:val="00B54EDA"/>
    <w:rsid w:val="00B55CBE"/>
    <w:rsid w:val="00B56E79"/>
    <w:rsid w:val="00B57902"/>
    <w:rsid w:val="00B62B24"/>
    <w:rsid w:val="00B634ED"/>
    <w:rsid w:val="00B641D2"/>
    <w:rsid w:val="00B66DA1"/>
    <w:rsid w:val="00B66DB1"/>
    <w:rsid w:val="00B7053B"/>
    <w:rsid w:val="00B7070A"/>
    <w:rsid w:val="00B732D1"/>
    <w:rsid w:val="00B73CB0"/>
    <w:rsid w:val="00B7575F"/>
    <w:rsid w:val="00B76433"/>
    <w:rsid w:val="00B816FB"/>
    <w:rsid w:val="00B81F45"/>
    <w:rsid w:val="00B820D3"/>
    <w:rsid w:val="00B8255E"/>
    <w:rsid w:val="00B84178"/>
    <w:rsid w:val="00B92254"/>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3F1"/>
    <w:rsid w:val="00BC467C"/>
    <w:rsid w:val="00BD191C"/>
    <w:rsid w:val="00BD58DE"/>
    <w:rsid w:val="00BD5CAD"/>
    <w:rsid w:val="00BD777E"/>
    <w:rsid w:val="00BE1C17"/>
    <w:rsid w:val="00BE3150"/>
    <w:rsid w:val="00BE35FD"/>
    <w:rsid w:val="00BE6576"/>
    <w:rsid w:val="00BE6B10"/>
    <w:rsid w:val="00BE7B8B"/>
    <w:rsid w:val="00BE7E64"/>
    <w:rsid w:val="00BF11EB"/>
    <w:rsid w:val="00BF1B2F"/>
    <w:rsid w:val="00BF2754"/>
    <w:rsid w:val="00BF4CEA"/>
    <w:rsid w:val="00C01F2E"/>
    <w:rsid w:val="00C057A2"/>
    <w:rsid w:val="00C075DF"/>
    <w:rsid w:val="00C115A8"/>
    <w:rsid w:val="00C12935"/>
    <w:rsid w:val="00C14083"/>
    <w:rsid w:val="00C1755D"/>
    <w:rsid w:val="00C20E9C"/>
    <w:rsid w:val="00C217A8"/>
    <w:rsid w:val="00C21D0B"/>
    <w:rsid w:val="00C21F16"/>
    <w:rsid w:val="00C23B97"/>
    <w:rsid w:val="00C25130"/>
    <w:rsid w:val="00C261B9"/>
    <w:rsid w:val="00C3029B"/>
    <w:rsid w:val="00C33861"/>
    <w:rsid w:val="00C35659"/>
    <w:rsid w:val="00C35808"/>
    <w:rsid w:val="00C4007B"/>
    <w:rsid w:val="00C4225E"/>
    <w:rsid w:val="00C42BAE"/>
    <w:rsid w:val="00C45B15"/>
    <w:rsid w:val="00C46E1D"/>
    <w:rsid w:val="00C51530"/>
    <w:rsid w:val="00C521E5"/>
    <w:rsid w:val="00C56640"/>
    <w:rsid w:val="00C57D9E"/>
    <w:rsid w:val="00C57E1B"/>
    <w:rsid w:val="00C60934"/>
    <w:rsid w:val="00C617E9"/>
    <w:rsid w:val="00C632C7"/>
    <w:rsid w:val="00C635CF"/>
    <w:rsid w:val="00C67C99"/>
    <w:rsid w:val="00C7291C"/>
    <w:rsid w:val="00C72B74"/>
    <w:rsid w:val="00C72DEC"/>
    <w:rsid w:val="00C731DE"/>
    <w:rsid w:val="00C73C41"/>
    <w:rsid w:val="00C7438C"/>
    <w:rsid w:val="00C759DF"/>
    <w:rsid w:val="00C7744C"/>
    <w:rsid w:val="00C80876"/>
    <w:rsid w:val="00C81873"/>
    <w:rsid w:val="00C8417E"/>
    <w:rsid w:val="00C86388"/>
    <w:rsid w:val="00C87D78"/>
    <w:rsid w:val="00C90823"/>
    <w:rsid w:val="00C919F8"/>
    <w:rsid w:val="00C91EA8"/>
    <w:rsid w:val="00CA1075"/>
    <w:rsid w:val="00CA4D71"/>
    <w:rsid w:val="00CA6C0F"/>
    <w:rsid w:val="00CB2EA6"/>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7AC"/>
    <w:rsid w:val="00CD7F6E"/>
    <w:rsid w:val="00CE013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0644A"/>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47F1E"/>
    <w:rsid w:val="00D5440C"/>
    <w:rsid w:val="00D54F06"/>
    <w:rsid w:val="00D5554C"/>
    <w:rsid w:val="00D61F80"/>
    <w:rsid w:val="00D663CA"/>
    <w:rsid w:val="00D674E8"/>
    <w:rsid w:val="00D73872"/>
    <w:rsid w:val="00D73B0A"/>
    <w:rsid w:val="00D74533"/>
    <w:rsid w:val="00D75233"/>
    <w:rsid w:val="00D82A56"/>
    <w:rsid w:val="00D82DAE"/>
    <w:rsid w:val="00D833A2"/>
    <w:rsid w:val="00D855F4"/>
    <w:rsid w:val="00D877DB"/>
    <w:rsid w:val="00D9081A"/>
    <w:rsid w:val="00D91F07"/>
    <w:rsid w:val="00D933EF"/>
    <w:rsid w:val="00D944B4"/>
    <w:rsid w:val="00D94920"/>
    <w:rsid w:val="00D96EE7"/>
    <w:rsid w:val="00DA1B9D"/>
    <w:rsid w:val="00DA45D8"/>
    <w:rsid w:val="00DA57CD"/>
    <w:rsid w:val="00DB111B"/>
    <w:rsid w:val="00DB191E"/>
    <w:rsid w:val="00DB3266"/>
    <w:rsid w:val="00DB4ABD"/>
    <w:rsid w:val="00DB4B68"/>
    <w:rsid w:val="00DC0572"/>
    <w:rsid w:val="00DC47AB"/>
    <w:rsid w:val="00DC5336"/>
    <w:rsid w:val="00DD242D"/>
    <w:rsid w:val="00DD25BC"/>
    <w:rsid w:val="00DD2DE8"/>
    <w:rsid w:val="00DD3B93"/>
    <w:rsid w:val="00DD4888"/>
    <w:rsid w:val="00DD54DF"/>
    <w:rsid w:val="00DE17A1"/>
    <w:rsid w:val="00DE1F5C"/>
    <w:rsid w:val="00DE28BA"/>
    <w:rsid w:val="00DE66F0"/>
    <w:rsid w:val="00DF3F06"/>
    <w:rsid w:val="00DF430D"/>
    <w:rsid w:val="00E013E5"/>
    <w:rsid w:val="00E056A4"/>
    <w:rsid w:val="00E06DD9"/>
    <w:rsid w:val="00E11C35"/>
    <w:rsid w:val="00E14AA0"/>
    <w:rsid w:val="00E16FC1"/>
    <w:rsid w:val="00E24677"/>
    <w:rsid w:val="00E30785"/>
    <w:rsid w:val="00E30AD6"/>
    <w:rsid w:val="00E324A7"/>
    <w:rsid w:val="00E34AE0"/>
    <w:rsid w:val="00E3581D"/>
    <w:rsid w:val="00E36512"/>
    <w:rsid w:val="00E378A9"/>
    <w:rsid w:val="00E43E20"/>
    <w:rsid w:val="00E552A8"/>
    <w:rsid w:val="00E55601"/>
    <w:rsid w:val="00E560E5"/>
    <w:rsid w:val="00E6034D"/>
    <w:rsid w:val="00E70C42"/>
    <w:rsid w:val="00E71F94"/>
    <w:rsid w:val="00E7384F"/>
    <w:rsid w:val="00E74ACC"/>
    <w:rsid w:val="00E7532C"/>
    <w:rsid w:val="00E76B7C"/>
    <w:rsid w:val="00E77A82"/>
    <w:rsid w:val="00E77C38"/>
    <w:rsid w:val="00E80BDD"/>
    <w:rsid w:val="00E80FB8"/>
    <w:rsid w:val="00E81675"/>
    <w:rsid w:val="00E82745"/>
    <w:rsid w:val="00E83E7F"/>
    <w:rsid w:val="00E84EFF"/>
    <w:rsid w:val="00E850BC"/>
    <w:rsid w:val="00E85A54"/>
    <w:rsid w:val="00E86A30"/>
    <w:rsid w:val="00E87D2B"/>
    <w:rsid w:val="00E93C17"/>
    <w:rsid w:val="00E93E11"/>
    <w:rsid w:val="00E94844"/>
    <w:rsid w:val="00E9499F"/>
    <w:rsid w:val="00E96424"/>
    <w:rsid w:val="00E97FD1"/>
    <w:rsid w:val="00EA01C2"/>
    <w:rsid w:val="00EA14B1"/>
    <w:rsid w:val="00EA18B8"/>
    <w:rsid w:val="00EA216C"/>
    <w:rsid w:val="00EA23AE"/>
    <w:rsid w:val="00EA3585"/>
    <w:rsid w:val="00EA36BA"/>
    <w:rsid w:val="00EA3A3A"/>
    <w:rsid w:val="00EA424F"/>
    <w:rsid w:val="00EA468B"/>
    <w:rsid w:val="00EA5AA7"/>
    <w:rsid w:val="00EA67E8"/>
    <w:rsid w:val="00EA6ABD"/>
    <w:rsid w:val="00EA6F27"/>
    <w:rsid w:val="00EB4832"/>
    <w:rsid w:val="00EB50CB"/>
    <w:rsid w:val="00EC0268"/>
    <w:rsid w:val="00EC2BAC"/>
    <w:rsid w:val="00EC37B6"/>
    <w:rsid w:val="00EC622D"/>
    <w:rsid w:val="00EC70DD"/>
    <w:rsid w:val="00EC79BB"/>
    <w:rsid w:val="00ED0181"/>
    <w:rsid w:val="00ED06D1"/>
    <w:rsid w:val="00EE0CAC"/>
    <w:rsid w:val="00EE15A1"/>
    <w:rsid w:val="00EE5FF3"/>
    <w:rsid w:val="00EF0BE7"/>
    <w:rsid w:val="00EF13A7"/>
    <w:rsid w:val="00EF1DF3"/>
    <w:rsid w:val="00EF446F"/>
    <w:rsid w:val="00EF4786"/>
    <w:rsid w:val="00EF4E61"/>
    <w:rsid w:val="00F024AF"/>
    <w:rsid w:val="00F03E2F"/>
    <w:rsid w:val="00F04A11"/>
    <w:rsid w:val="00F05438"/>
    <w:rsid w:val="00F05D03"/>
    <w:rsid w:val="00F112F5"/>
    <w:rsid w:val="00F11373"/>
    <w:rsid w:val="00F12913"/>
    <w:rsid w:val="00F14418"/>
    <w:rsid w:val="00F148B2"/>
    <w:rsid w:val="00F15F18"/>
    <w:rsid w:val="00F16C09"/>
    <w:rsid w:val="00F247BC"/>
    <w:rsid w:val="00F26131"/>
    <w:rsid w:val="00F315AB"/>
    <w:rsid w:val="00F3226B"/>
    <w:rsid w:val="00F32761"/>
    <w:rsid w:val="00F331AC"/>
    <w:rsid w:val="00F342C7"/>
    <w:rsid w:val="00F35A6E"/>
    <w:rsid w:val="00F35C53"/>
    <w:rsid w:val="00F36627"/>
    <w:rsid w:val="00F402E0"/>
    <w:rsid w:val="00F417FD"/>
    <w:rsid w:val="00F45C25"/>
    <w:rsid w:val="00F4637E"/>
    <w:rsid w:val="00F46FF8"/>
    <w:rsid w:val="00F47A93"/>
    <w:rsid w:val="00F51502"/>
    <w:rsid w:val="00F55965"/>
    <w:rsid w:val="00F56FAE"/>
    <w:rsid w:val="00F57A0C"/>
    <w:rsid w:val="00F57DBF"/>
    <w:rsid w:val="00F63084"/>
    <w:rsid w:val="00F720D6"/>
    <w:rsid w:val="00F74AFB"/>
    <w:rsid w:val="00F75E07"/>
    <w:rsid w:val="00F77137"/>
    <w:rsid w:val="00F777C7"/>
    <w:rsid w:val="00F8132B"/>
    <w:rsid w:val="00F81347"/>
    <w:rsid w:val="00F8235B"/>
    <w:rsid w:val="00F90E72"/>
    <w:rsid w:val="00F922BB"/>
    <w:rsid w:val="00F93B23"/>
    <w:rsid w:val="00F95E8E"/>
    <w:rsid w:val="00F96393"/>
    <w:rsid w:val="00F96FEC"/>
    <w:rsid w:val="00F97A9F"/>
    <w:rsid w:val="00FA0594"/>
    <w:rsid w:val="00FA17E4"/>
    <w:rsid w:val="00FA206A"/>
    <w:rsid w:val="00FA3979"/>
    <w:rsid w:val="00FA48B0"/>
    <w:rsid w:val="00FA59D2"/>
    <w:rsid w:val="00FB0D5C"/>
    <w:rsid w:val="00FB1F52"/>
    <w:rsid w:val="00FB23DD"/>
    <w:rsid w:val="00FB37A9"/>
    <w:rsid w:val="00FB41D2"/>
    <w:rsid w:val="00FB76EA"/>
    <w:rsid w:val="00FC07DB"/>
    <w:rsid w:val="00FC61E0"/>
    <w:rsid w:val="00FC66C7"/>
    <w:rsid w:val="00FC7E58"/>
    <w:rsid w:val="00FD3DA7"/>
    <w:rsid w:val="00FD662A"/>
    <w:rsid w:val="00FE0312"/>
    <w:rsid w:val="00FE4B3F"/>
    <w:rsid w:val="00FE72DD"/>
    <w:rsid w:val="00FE788D"/>
    <w:rsid w:val="00FE7F31"/>
    <w:rsid w:val="00FF048D"/>
    <w:rsid w:val="00FF306C"/>
    <w:rsid w:val="00FF3823"/>
    <w:rsid w:val="00FF462B"/>
    <w:rsid w:val="00FF584F"/>
    <w:rsid w:val="00FF78B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2"/>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5363B"/>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4000">
      <w:bodyDiv w:val="1"/>
      <w:marLeft w:val="0"/>
      <w:marRight w:val="0"/>
      <w:marTop w:val="0"/>
      <w:marBottom w:val="0"/>
      <w:divBdr>
        <w:top w:val="none" w:sz="0" w:space="0" w:color="auto"/>
        <w:left w:val="none" w:sz="0" w:space="0" w:color="auto"/>
        <w:bottom w:val="none" w:sz="0" w:space="0" w:color="auto"/>
        <w:right w:val="none" w:sz="0" w:space="0" w:color="auto"/>
      </w:divBdr>
    </w:div>
    <w:div w:id="1826624556">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2020/0038/latest/LMS17067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slation.govt.nz/regulation/public/1989/0064/latest/DLM129834.html?src=qs" TargetMode="External"/><Relationship Id="rId4" Type="http://schemas.openxmlformats.org/officeDocument/2006/relationships/settings" Target="settings.xml"/><Relationship Id="rId9" Type="http://schemas.openxmlformats.org/officeDocument/2006/relationships/hyperlink" Target="https://www.legislation.govt.nz/regulation/public/1999/0202/latest/DLM288425.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hrome-extension://efaidnbmnnnibpcajpcglclefindmkaj/https:/assets.education.govt.nz/public/Documents/School/Managing-and-supporting-students/Stand-downs-suspensions-exclusions-and-expulsions-guidelines/17-5-18-SuspensionGoodPracticeWEB-2.pdf" TargetMode="External"/><Relationship Id="rId1" Type="http://schemas.openxmlformats.org/officeDocument/2006/relationships/hyperlink" Target="https://www.education.govt.nz/school/managing-and-supporting-students/student-behaviour-help-and-guidance/stand-downs-suspensions-exclusions-and-expulsion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1664-A63B-49EB-9BA1-C5FEA521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11783</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vt:lpstr>
      <vt:lpstr>    Background</vt:lpstr>
      <vt:lpstr>    Legislative framework for school discipline </vt:lpstr>
      <vt:lpstr>    Process of suspension, exclusion and expulsion</vt:lpstr>
      <vt:lpstr>Investigations</vt:lpstr>
      <vt:lpstr>    Record-keeping</vt:lpstr>
      <vt:lpstr>    Investigation A</vt:lpstr>
      <vt:lpstr>        Record-keeping </vt:lpstr>
      <vt:lpstr>    Investigation B</vt:lpstr>
      <vt:lpstr>        Suspension meeting / record keeping</vt:lpstr>
      <vt:lpstr>Outcome</vt:lpstr>
      <vt:lpstr>    In both investigations, the Ombudsman concluded that the omission of the Board t</vt:lpstr>
      <vt:lpstr>    In investigation A, the Ombudsman recommended that the Board:</vt:lpstr>
      <vt:lpstr>Disclaimer</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2022-09-12T22:50:00Z</dcterms:created>
  <dcterms:modified xsi:type="dcterms:W3CDTF">2022-09-12T22:50:00Z</dcterms:modified>
  <cp:contentStatus/>
</cp:coreProperties>
</file>