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D34195" w:rsidP="00E96424">
      <w:bookmarkStart w:id="0" w:name="TemplateGuide"/>
      <w:bookmarkEnd w:id="0"/>
    </w:p>
    <w:tbl>
      <w:tblPr>
        <w:tblStyle w:val="TableGridnoborders"/>
        <w:tblW w:w="6520" w:type="dxa"/>
        <w:tblInd w:w="0" w:type="dxa"/>
        <w:tblBorders>
          <w:bottom w:val="single" w:sz="4" w:space="0" w:color="4D4D4D"/>
        </w:tblBorders>
        <w:tblLayout w:type="fixed"/>
        <w:tblCellMar>
          <w:top w:w="0" w:type="dxa"/>
          <w:left w:w="0" w:type="dxa"/>
          <w:right w:w="0" w:type="dxa"/>
        </w:tblCellMar>
        <w:tblLook w:val="04A0" w:firstRow="1" w:lastRow="0" w:firstColumn="1" w:lastColumn="0" w:noHBand="0" w:noVBand="1"/>
      </w:tblPr>
      <w:tblGrid>
        <w:gridCol w:w="6520"/>
      </w:tblGrid>
      <w:tr w:rsidR="00B22E86" w:rsidTr="00C11F64">
        <w:trPr>
          <w:trHeight w:hRule="exact" w:val="3686"/>
        </w:trPr>
        <w:tc>
          <w:tcPr>
            <w:tcW w:w="6520" w:type="dxa"/>
            <w:shd w:val="clear" w:color="auto" w:fill="auto"/>
            <w:tcMar>
              <w:top w:w="0" w:type="dxa"/>
              <w:bottom w:w="0" w:type="dxa"/>
            </w:tcMar>
            <w:vAlign w:val="bottom"/>
          </w:tcPr>
          <w:p w:rsidR="00C826F9" w:rsidRPr="00F011BA" w:rsidRDefault="00D34195" w:rsidP="00C11F64">
            <w:pPr>
              <w:pStyle w:val="Title"/>
            </w:pPr>
            <w:r>
              <w:t>Requests by corporate entities for their personal information</w:t>
            </w:r>
          </w:p>
          <w:p w:rsidR="00C826F9" w:rsidRPr="00F011BA" w:rsidRDefault="00D34195" w:rsidP="00F011BA">
            <w:pPr>
              <w:pStyle w:val="Subheading"/>
            </w:pPr>
            <w:r>
              <w:t>A guide to Part 4 of the OIA and LGOIMA</w:t>
            </w:r>
          </w:p>
        </w:tc>
      </w:tr>
      <w:tr w:rsidR="00B22E86" w:rsidTr="00C11F64">
        <w:trPr>
          <w:trHeight w:hRule="exact" w:val="1418"/>
        </w:trPr>
        <w:tc>
          <w:tcPr>
            <w:tcW w:w="6520" w:type="dxa"/>
            <w:tcBorders>
              <w:bottom w:val="nil"/>
            </w:tcBorders>
            <w:shd w:val="clear" w:color="auto" w:fill="auto"/>
          </w:tcPr>
          <w:p w:rsidR="00F011BA" w:rsidRDefault="00D34195" w:rsidP="00F011BA">
            <w:pPr>
              <w:pStyle w:val="Subheading"/>
            </w:pPr>
          </w:p>
        </w:tc>
      </w:tr>
    </w:tbl>
    <w:p w:rsidR="001343E8" w:rsidRPr="001343E8" w:rsidRDefault="00D34195" w:rsidP="001343E8">
      <w:pPr>
        <w:pStyle w:val="Introduction"/>
      </w:pPr>
      <w:r w:rsidRPr="001343E8">
        <w:t xml:space="preserve">This is a guide to Part 4 requests made under the </w:t>
      </w:r>
      <w:hyperlink r:id="rId8" w:history="1">
        <w:r w:rsidRPr="00534BDC">
          <w:rPr>
            <w:rStyle w:val="Hyperlink"/>
            <w:i w:val="0"/>
          </w:rPr>
          <w:t>Official Information Act</w:t>
        </w:r>
      </w:hyperlink>
      <w:r w:rsidRPr="00534BDC">
        <w:rPr>
          <w:i w:val="0"/>
        </w:rPr>
        <w:t xml:space="preserve"> </w:t>
      </w:r>
      <w:r w:rsidRPr="001343E8">
        <w:t xml:space="preserve">(OIA) and the </w:t>
      </w:r>
      <w:hyperlink r:id="rId9" w:history="1">
        <w:r w:rsidRPr="00534BDC">
          <w:rPr>
            <w:rStyle w:val="Hyperlink"/>
            <w:i w:val="0"/>
          </w:rPr>
          <w:t>Local Government Official Information and Meetings Act</w:t>
        </w:r>
      </w:hyperlink>
      <w:r w:rsidRPr="001343E8">
        <w:t xml:space="preserve"> (LGOIMA). </w:t>
      </w:r>
    </w:p>
    <w:p w:rsidR="00027F11" w:rsidRDefault="00D34195" w:rsidP="001343E8">
      <w:pPr>
        <w:pStyle w:val="Introduction"/>
      </w:pPr>
      <w:r w:rsidRPr="001343E8">
        <w:t xml:space="preserve">Part 4 is a special code within the OIA and LGOIMA governing access by </w:t>
      </w:r>
      <w:r w:rsidRPr="001343E8">
        <w:t>corporate entities to personal information about themselves.</w:t>
      </w:r>
    </w:p>
    <w:p w:rsidR="000D5C6C" w:rsidRDefault="00D34195" w:rsidP="000D5C6C">
      <w:pPr>
        <w:pStyle w:val="Introduction"/>
      </w:pPr>
      <w:r>
        <w:t xml:space="preserve">This guide is published under the authority of the </w:t>
      </w:r>
      <w:hyperlink r:id="rId10" w:history="1">
        <w:r w:rsidRPr="00C623DB">
          <w:rPr>
            <w:rStyle w:val="Hyperlink"/>
            <w:i w:val="0"/>
          </w:rPr>
          <w:t>Ombudsmen Rules 1989.</w:t>
        </w:r>
      </w:hyperlink>
    </w:p>
    <w:p w:rsidR="000D5C6C" w:rsidRDefault="00D34195" w:rsidP="001343E8">
      <w:pPr>
        <w:pStyle w:val="Introduction"/>
      </w:pPr>
    </w:p>
    <w:p w:rsidR="00FE72DD" w:rsidRDefault="00D34195" w:rsidP="00027F11">
      <w:pPr>
        <w:pStyle w:val="TOCHeading"/>
        <w:pageBreakBefore/>
      </w:pPr>
      <w:r>
        <w:lastRenderedPageBreak/>
        <w:t>Contents</w:t>
      </w:r>
    </w:p>
    <w:p w:rsidR="002E1661" w:rsidRDefault="00D34195">
      <w:pPr>
        <w:pStyle w:val="TOC1"/>
        <w:rPr>
          <w:rFonts w:asciiTheme="minorHAnsi" w:eastAsiaTheme="minorEastAsia" w:hAnsiTheme="minorHAnsi"/>
          <w:b w:val="0"/>
          <w:noProof/>
          <w:color w:val="auto"/>
          <w:sz w:val="22"/>
          <w:lang w:eastAsia="en-NZ"/>
        </w:rPr>
      </w:pPr>
      <w:r>
        <w:rPr>
          <w:color w:val="894FBF"/>
        </w:rPr>
        <w:fldChar w:fldCharType="begin"/>
      </w:r>
      <w:r>
        <w:instrText xml:space="preserve"> TOC \o "1-3</w:instrText>
      </w:r>
      <w:r>
        <w:instrText xml:space="preserve">" \h \z \u </w:instrText>
      </w:r>
      <w:r>
        <w:rPr>
          <w:color w:val="894FBF"/>
        </w:rPr>
        <w:fldChar w:fldCharType="separate"/>
      </w:r>
      <w:hyperlink w:anchor="_Toc16260685" w:history="1">
        <w:r w:rsidR="002E1661" w:rsidRPr="001556A7">
          <w:rPr>
            <w:rStyle w:val="Hyperlink"/>
            <w:noProof/>
          </w:rPr>
          <w:t>What is a Part 4 request?</w:t>
        </w:r>
        <w:r w:rsidR="002E1661">
          <w:rPr>
            <w:noProof/>
            <w:webHidden/>
          </w:rPr>
          <w:tab/>
        </w:r>
        <w:r w:rsidR="002E1661">
          <w:rPr>
            <w:noProof/>
            <w:webHidden/>
          </w:rPr>
          <w:fldChar w:fldCharType="begin"/>
        </w:r>
        <w:r w:rsidR="002E1661">
          <w:rPr>
            <w:noProof/>
            <w:webHidden/>
          </w:rPr>
          <w:instrText xml:space="preserve"> PAGEREF _Toc16260685 \h </w:instrText>
        </w:r>
        <w:r w:rsidR="002E1661">
          <w:rPr>
            <w:noProof/>
            <w:webHidden/>
          </w:rPr>
        </w:r>
        <w:r w:rsidR="002E1661">
          <w:rPr>
            <w:noProof/>
            <w:webHidden/>
          </w:rPr>
          <w:fldChar w:fldCharType="separate"/>
        </w:r>
        <w:r>
          <w:rPr>
            <w:noProof/>
            <w:webHidden/>
          </w:rPr>
          <w:t>3</w:t>
        </w:r>
        <w:r w:rsidR="002E1661">
          <w:rPr>
            <w:noProof/>
            <w:webHidden/>
          </w:rPr>
          <w:fldChar w:fldCharType="end"/>
        </w:r>
      </w:hyperlink>
    </w:p>
    <w:p w:rsidR="002E1661" w:rsidRDefault="002E1661">
      <w:pPr>
        <w:pStyle w:val="TOC1"/>
        <w:rPr>
          <w:rFonts w:asciiTheme="minorHAnsi" w:eastAsiaTheme="minorEastAsia" w:hAnsiTheme="minorHAnsi"/>
          <w:b w:val="0"/>
          <w:noProof/>
          <w:color w:val="auto"/>
          <w:sz w:val="22"/>
          <w:lang w:eastAsia="en-NZ"/>
        </w:rPr>
      </w:pPr>
      <w:hyperlink w:anchor="_Toc16260686" w:history="1">
        <w:r w:rsidRPr="001556A7">
          <w:rPr>
            <w:rStyle w:val="Hyperlink"/>
            <w:noProof/>
          </w:rPr>
          <w:t>Who can make a Part 4 request?</w:t>
        </w:r>
        <w:r>
          <w:rPr>
            <w:noProof/>
            <w:webHidden/>
          </w:rPr>
          <w:tab/>
        </w:r>
        <w:r>
          <w:rPr>
            <w:noProof/>
            <w:webHidden/>
          </w:rPr>
          <w:fldChar w:fldCharType="begin"/>
        </w:r>
        <w:r>
          <w:rPr>
            <w:noProof/>
            <w:webHidden/>
          </w:rPr>
          <w:instrText xml:space="preserve"> PAGEREF _Toc16260686 \h </w:instrText>
        </w:r>
        <w:r>
          <w:rPr>
            <w:noProof/>
            <w:webHidden/>
          </w:rPr>
        </w:r>
        <w:r>
          <w:rPr>
            <w:noProof/>
            <w:webHidden/>
          </w:rPr>
          <w:fldChar w:fldCharType="separate"/>
        </w:r>
        <w:r w:rsidR="00D34195">
          <w:rPr>
            <w:noProof/>
            <w:webHidden/>
          </w:rPr>
          <w:t>4</w:t>
        </w:r>
        <w:r>
          <w:rPr>
            <w:noProof/>
            <w:webHidden/>
          </w:rPr>
          <w:fldChar w:fldCharType="end"/>
        </w:r>
      </w:hyperlink>
    </w:p>
    <w:p w:rsidR="002E1661" w:rsidRDefault="002E1661">
      <w:pPr>
        <w:pStyle w:val="TOC2"/>
        <w:rPr>
          <w:rFonts w:asciiTheme="minorHAnsi" w:eastAsiaTheme="minorEastAsia" w:hAnsiTheme="minorHAnsi"/>
          <w:noProof/>
          <w:color w:val="auto"/>
          <w:sz w:val="22"/>
          <w:lang w:eastAsia="en-NZ"/>
        </w:rPr>
      </w:pPr>
      <w:hyperlink w:anchor="_Toc16260687" w:history="1">
        <w:r w:rsidRPr="001556A7">
          <w:rPr>
            <w:rStyle w:val="Hyperlink"/>
            <w:noProof/>
          </w:rPr>
          <w:t>Under the OIA</w:t>
        </w:r>
        <w:r>
          <w:rPr>
            <w:noProof/>
            <w:webHidden/>
          </w:rPr>
          <w:tab/>
        </w:r>
        <w:r>
          <w:rPr>
            <w:noProof/>
            <w:webHidden/>
          </w:rPr>
          <w:fldChar w:fldCharType="begin"/>
        </w:r>
        <w:r>
          <w:rPr>
            <w:noProof/>
            <w:webHidden/>
          </w:rPr>
          <w:instrText xml:space="preserve"> PAGEREF _Toc16260687 \h </w:instrText>
        </w:r>
        <w:r>
          <w:rPr>
            <w:noProof/>
            <w:webHidden/>
          </w:rPr>
        </w:r>
        <w:r>
          <w:rPr>
            <w:noProof/>
            <w:webHidden/>
          </w:rPr>
          <w:fldChar w:fldCharType="separate"/>
        </w:r>
        <w:r w:rsidR="00D34195">
          <w:rPr>
            <w:noProof/>
            <w:webHidden/>
          </w:rPr>
          <w:t>4</w:t>
        </w:r>
        <w:r>
          <w:rPr>
            <w:noProof/>
            <w:webHidden/>
          </w:rPr>
          <w:fldChar w:fldCharType="end"/>
        </w:r>
      </w:hyperlink>
    </w:p>
    <w:p w:rsidR="002E1661" w:rsidRDefault="002E1661">
      <w:pPr>
        <w:pStyle w:val="TOC2"/>
        <w:rPr>
          <w:rFonts w:asciiTheme="minorHAnsi" w:eastAsiaTheme="minorEastAsia" w:hAnsiTheme="minorHAnsi"/>
          <w:noProof/>
          <w:color w:val="auto"/>
          <w:sz w:val="22"/>
          <w:lang w:eastAsia="en-NZ"/>
        </w:rPr>
      </w:pPr>
      <w:hyperlink w:anchor="_Toc16260688" w:history="1">
        <w:r w:rsidRPr="001556A7">
          <w:rPr>
            <w:rStyle w:val="Hyperlink"/>
            <w:noProof/>
          </w:rPr>
          <w:t>Under the LGOIMA</w:t>
        </w:r>
        <w:r>
          <w:rPr>
            <w:noProof/>
            <w:webHidden/>
          </w:rPr>
          <w:tab/>
        </w:r>
        <w:r>
          <w:rPr>
            <w:noProof/>
            <w:webHidden/>
          </w:rPr>
          <w:fldChar w:fldCharType="begin"/>
        </w:r>
        <w:r>
          <w:rPr>
            <w:noProof/>
            <w:webHidden/>
          </w:rPr>
          <w:instrText xml:space="preserve"> PAGEREF _Toc16260688 \h </w:instrText>
        </w:r>
        <w:r>
          <w:rPr>
            <w:noProof/>
            <w:webHidden/>
          </w:rPr>
        </w:r>
        <w:r>
          <w:rPr>
            <w:noProof/>
            <w:webHidden/>
          </w:rPr>
          <w:fldChar w:fldCharType="separate"/>
        </w:r>
        <w:r w:rsidR="00D34195">
          <w:rPr>
            <w:noProof/>
            <w:webHidden/>
          </w:rPr>
          <w:t>4</w:t>
        </w:r>
        <w:r>
          <w:rPr>
            <w:noProof/>
            <w:webHidden/>
          </w:rPr>
          <w:fldChar w:fldCharType="end"/>
        </w:r>
      </w:hyperlink>
    </w:p>
    <w:p w:rsidR="002E1661" w:rsidRDefault="002E1661">
      <w:pPr>
        <w:pStyle w:val="TOC1"/>
        <w:rPr>
          <w:rFonts w:asciiTheme="minorHAnsi" w:eastAsiaTheme="minorEastAsia" w:hAnsiTheme="minorHAnsi"/>
          <w:b w:val="0"/>
          <w:noProof/>
          <w:color w:val="auto"/>
          <w:sz w:val="22"/>
          <w:lang w:eastAsia="en-NZ"/>
        </w:rPr>
      </w:pPr>
      <w:hyperlink w:anchor="_Toc16260689" w:history="1">
        <w:r w:rsidRPr="001556A7">
          <w:rPr>
            <w:rStyle w:val="Hyperlink"/>
            <w:noProof/>
          </w:rPr>
          <w:t>How to make or recognise a Part 4 request</w:t>
        </w:r>
        <w:r>
          <w:rPr>
            <w:noProof/>
            <w:webHidden/>
          </w:rPr>
          <w:tab/>
        </w:r>
        <w:r>
          <w:rPr>
            <w:noProof/>
            <w:webHidden/>
          </w:rPr>
          <w:fldChar w:fldCharType="begin"/>
        </w:r>
        <w:r>
          <w:rPr>
            <w:noProof/>
            <w:webHidden/>
          </w:rPr>
          <w:instrText xml:space="preserve"> PAGEREF _Toc16260689 \h </w:instrText>
        </w:r>
        <w:r>
          <w:rPr>
            <w:noProof/>
            <w:webHidden/>
          </w:rPr>
        </w:r>
        <w:r>
          <w:rPr>
            <w:noProof/>
            <w:webHidden/>
          </w:rPr>
          <w:fldChar w:fldCharType="separate"/>
        </w:r>
        <w:r w:rsidR="00D34195">
          <w:rPr>
            <w:noProof/>
            <w:webHidden/>
          </w:rPr>
          <w:t>4</w:t>
        </w:r>
        <w:r>
          <w:rPr>
            <w:noProof/>
            <w:webHidden/>
          </w:rPr>
          <w:fldChar w:fldCharType="end"/>
        </w:r>
      </w:hyperlink>
    </w:p>
    <w:p w:rsidR="002E1661" w:rsidRDefault="002E1661">
      <w:pPr>
        <w:pStyle w:val="TOC1"/>
        <w:rPr>
          <w:rFonts w:asciiTheme="minorHAnsi" w:eastAsiaTheme="minorEastAsia" w:hAnsiTheme="minorHAnsi"/>
          <w:b w:val="0"/>
          <w:noProof/>
          <w:color w:val="auto"/>
          <w:sz w:val="22"/>
          <w:lang w:eastAsia="en-NZ"/>
        </w:rPr>
      </w:pPr>
      <w:hyperlink w:anchor="_Toc16260690" w:history="1">
        <w:r w:rsidRPr="001556A7">
          <w:rPr>
            <w:rStyle w:val="Hyperlink"/>
            <w:noProof/>
          </w:rPr>
          <w:t>Processing requirements</w:t>
        </w:r>
        <w:r>
          <w:rPr>
            <w:noProof/>
            <w:webHidden/>
          </w:rPr>
          <w:tab/>
        </w:r>
        <w:r>
          <w:rPr>
            <w:noProof/>
            <w:webHidden/>
          </w:rPr>
          <w:fldChar w:fldCharType="begin"/>
        </w:r>
        <w:r>
          <w:rPr>
            <w:noProof/>
            <w:webHidden/>
          </w:rPr>
          <w:instrText xml:space="preserve"> PAGEREF _Toc16260690 \h </w:instrText>
        </w:r>
        <w:r>
          <w:rPr>
            <w:noProof/>
            <w:webHidden/>
          </w:rPr>
        </w:r>
        <w:r>
          <w:rPr>
            <w:noProof/>
            <w:webHidden/>
          </w:rPr>
          <w:fldChar w:fldCharType="separate"/>
        </w:r>
        <w:r w:rsidR="00D34195">
          <w:rPr>
            <w:noProof/>
            <w:webHidden/>
          </w:rPr>
          <w:t>5</w:t>
        </w:r>
        <w:r>
          <w:rPr>
            <w:noProof/>
            <w:webHidden/>
          </w:rPr>
          <w:fldChar w:fldCharType="end"/>
        </w:r>
      </w:hyperlink>
    </w:p>
    <w:p w:rsidR="002E1661" w:rsidRDefault="002E1661">
      <w:pPr>
        <w:pStyle w:val="TOC2"/>
        <w:rPr>
          <w:rFonts w:asciiTheme="minorHAnsi" w:eastAsiaTheme="minorEastAsia" w:hAnsiTheme="minorHAnsi"/>
          <w:noProof/>
          <w:color w:val="auto"/>
          <w:sz w:val="22"/>
          <w:lang w:eastAsia="en-NZ"/>
        </w:rPr>
      </w:pPr>
      <w:hyperlink w:anchor="_Toc16260691" w:history="1">
        <w:r w:rsidRPr="001556A7">
          <w:rPr>
            <w:rStyle w:val="Hyperlink"/>
            <w:noProof/>
          </w:rPr>
          <w:t>General processing requirements</w:t>
        </w:r>
        <w:r>
          <w:rPr>
            <w:noProof/>
            <w:webHidden/>
          </w:rPr>
          <w:tab/>
        </w:r>
        <w:r>
          <w:rPr>
            <w:noProof/>
            <w:webHidden/>
          </w:rPr>
          <w:fldChar w:fldCharType="begin"/>
        </w:r>
        <w:r>
          <w:rPr>
            <w:noProof/>
            <w:webHidden/>
          </w:rPr>
          <w:instrText xml:space="preserve"> PAGEREF _Toc16260691 \h </w:instrText>
        </w:r>
        <w:r>
          <w:rPr>
            <w:noProof/>
            <w:webHidden/>
          </w:rPr>
        </w:r>
        <w:r>
          <w:rPr>
            <w:noProof/>
            <w:webHidden/>
          </w:rPr>
          <w:fldChar w:fldCharType="separate"/>
        </w:r>
        <w:r w:rsidR="00D34195">
          <w:rPr>
            <w:noProof/>
            <w:webHidden/>
          </w:rPr>
          <w:t>5</w:t>
        </w:r>
        <w:r>
          <w:rPr>
            <w:noProof/>
            <w:webHidden/>
          </w:rPr>
          <w:fldChar w:fldCharType="end"/>
        </w:r>
      </w:hyperlink>
    </w:p>
    <w:p w:rsidR="002E1661" w:rsidRDefault="002E1661">
      <w:pPr>
        <w:pStyle w:val="TOC2"/>
        <w:rPr>
          <w:rFonts w:asciiTheme="minorHAnsi" w:eastAsiaTheme="minorEastAsia" w:hAnsiTheme="minorHAnsi"/>
          <w:noProof/>
          <w:color w:val="auto"/>
          <w:sz w:val="22"/>
          <w:lang w:eastAsia="en-NZ"/>
        </w:rPr>
      </w:pPr>
      <w:hyperlink w:anchor="_Toc16260692" w:history="1">
        <w:r w:rsidRPr="001556A7">
          <w:rPr>
            <w:rStyle w:val="Hyperlink"/>
            <w:noProof/>
          </w:rPr>
          <w:t>Right to request correction</w:t>
        </w:r>
        <w:r>
          <w:rPr>
            <w:noProof/>
            <w:webHidden/>
          </w:rPr>
          <w:tab/>
        </w:r>
        <w:r>
          <w:rPr>
            <w:noProof/>
            <w:webHidden/>
          </w:rPr>
          <w:fldChar w:fldCharType="begin"/>
        </w:r>
        <w:r>
          <w:rPr>
            <w:noProof/>
            <w:webHidden/>
          </w:rPr>
          <w:instrText xml:space="preserve"> PAGEREF _Toc16260692 \h </w:instrText>
        </w:r>
        <w:r>
          <w:rPr>
            <w:noProof/>
            <w:webHidden/>
          </w:rPr>
        </w:r>
        <w:r>
          <w:rPr>
            <w:noProof/>
            <w:webHidden/>
          </w:rPr>
          <w:fldChar w:fldCharType="separate"/>
        </w:r>
        <w:r w:rsidR="00D34195">
          <w:rPr>
            <w:noProof/>
            <w:webHidden/>
          </w:rPr>
          <w:t>6</w:t>
        </w:r>
        <w:r>
          <w:rPr>
            <w:noProof/>
            <w:webHidden/>
          </w:rPr>
          <w:fldChar w:fldCharType="end"/>
        </w:r>
      </w:hyperlink>
    </w:p>
    <w:p w:rsidR="002E1661" w:rsidRDefault="002E1661">
      <w:pPr>
        <w:pStyle w:val="TOC2"/>
        <w:rPr>
          <w:rFonts w:asciiTheme="minorHAnsi" w:eastAsiaTheme="minorEastAsia" w:hAnsiTheme="minorHAnsi"/>
          <w:noProof/>
          <w:color w:val="auto"/>
          <w:sz w:val="22"/>
          <w:lang w:eastAsia="en-NZ"/>
        </w:rPr>
      </w:pPr>
      <w:hyperlink w:anchor="_Toc16260693" w:history="1">
        <w:r w:rsidRPr="001556A7">
          <w:rPr>
            <w:rStyle w:val="Hyperlink"/>
            <w:noProof/>
          </w:rPr>
          <w:t>Precautions</w:t>
        </w:r>
        <w:r>
          <w:rPr>
            <w:noProof/>
            <w:webHidden/>
          </w:rPr>
          <w:tab/>
        </w:r>
        <w:r>
          <w:rPr>
            <w:noProof/>
            <w:webHidden/>
          </w:rPr>
          <w:fldChar w:fldCharType="begin"/>
        </w:r>
        <w:r>
          <w:rPr>
            <w:noProof/>
            <w:webHidden/>
          </w:rPr>
          <w:instrText xml:space="preserve"> PAGEREF _Toc16260693 \h </w:instrText>
        </w:r>
        <w:r>
          <w:rPr>
            <w:noProof/>
            <w:webHidden/>
          </w:rPr>
        </w:r>
        <w:r>
          <w:rPr>
            <w:noProof/>
            <w:webHidden/>
          </w:rPr>
          <w:fldChar w:fldCharType="separate"/>
        </w:r>
        <w:r w:rsidR="00D34195">
          <w:rPr>
            <w:noProof/>
            <w:webHidden/>
          </w:rPr>
          <w:t>6</w:t>
        </w:r>
        <w:r>
          <w:rPr>
            <w:noProof/>
            <w:webHidden/>
          </w:rPr>
          <w:fldChar w:fldCharType="end"/>
        </w:r>
      </w:hyperlink>
    </w:p>
    <w:p w:rsidR="002E1661" w:rsidRDefault="002E1661">
      <w:pPr>
        <w:pStyle w:val="TOC1"/>
        <w:rPr>
          <w:rFonts w:asciiTheme="minorHAnsi" w:eastAsiaTheme="minorEastAsia" w:hAnsiTheme="minorHAnsi"/>
          <w:b w:val="0"/>
          <w:noProof/>
          <w:color w:val="auto"/>
          <w:sz w:val="22"/>
          <w:lang w:eastAsia="en-NZ"/>
        </w:rPr>
      </w:pPr>
      <w:hyperlink w:anchor="_Toc16260694" w:history="1">
        <w:r w:rsidRPr="001556A7">
          <w:rPr>
            <w:rStyle w:val="Hyperlink"/>
            <w:noProof/>
          </w:rPr>
          <w:t>Right to request correction</w:t>
        </w:r>
        <w:r>
          <w:rPr>
            <w:noProof/>
            <w:webHidden/>
          </w:rPr>
          <w:tab/>
        </w:r>
        <w:r>
          <w:rPr>
            <w:noProof/>
            <w:webHidden/>
          </w:rPr>
          <w:fldChar w:fldCharType="begin"/>
        </w:r>
        <w:r>
          <w:rPr>
            <w:noProof/>
            <w:webHidden/>
          </w:rPr>
          <w:instrText xml:space="preserve"> PAGEREF _Toc16260694 \h </w:instrText>
        </w:r>
        <w:r>
          <w:rPr>
            <w:noProof/>
            <w:webHidden/>
          </w:rPr>
        </w:r>
        <w:r>
          <w:rPr>
            <w:noProof/>
            <w:webHidden/>
          </w:rPr>
          <w:fldChar w:fldCharType="separate"/>
        </w:r>
        <w:r w:rsidR="00D34195">
          <w:rPr>
            <w:noProof/>
            <w:webHidden/>
          </w:rPr>
          <w:t>6</w:t>
        </w:r>
        <w:r>
          <w:rPr>
            <w:noProof/>
            <w:webHidden/>
          </w:rPr>
          <w:fldChar w:fldCharType="end"/>
        </w:r>
      </w:hyperlink>
    </w:p>
    <w:p w:rsidR="002E1661" w:rsidRDefault="002E1661">
      <w:pPr>
        <w:pStyle w:val="TOC1"/>
        <w:rPr>
          <w:rFonts w:asciiTheme="minorHAnsi" w:eastAsiaTheme="minorEastAsia" w:hAnsiTheme="minorHAnsi"/>
          <w:b w:val="0"/>
          <w:noProof/>
          <w:color w:val="auto"/>
          <w:sz w:val="22"/>
          <w:lang w:eastAsia="en-NZ"/>
        </w:rPr>
      </w:pPr>
      <w:hyperlink w:anchor="_Toc16260695" w:history="1">
        <w:r w:rsidRPr="001556A7">
          <w:rPr>
            <w:rStyle w:val="Hyperlink"/>
            <w:noProof/>
          </w:rPr>
          <w:t>Reasons for refusing Part 4 requests</w:t>
        </w:r>
        <w:r>
          <w:rPr>
            <w:noProof/>
            <w:webHidden/>
          </w:rPr>
          <w:tab/>
        </w:r>
        <w:r>
          <w:rPr>
            <w:noProof/>
            <w:webHidden/>
          </w:rPr>
          <w:fldChar w:fldCharType="begin"/>
        </w:r>
        <w:r>
          <w:rPr>
            <w:noProof/>
            <w:webHidden/>
          </w:rPr>
          <w:instrText xml:space="preserve"> PAGEREF _Toc16260695 \h </w:instrText>
        </w:r>
        <w:r>
          <w:rPr>
            <w:noProof/>
            <w:webHidden/>
          </w:rPr>
        </w:r>
        <w:r>
          <w:rPr>
            <w:noProof/>
            <w:webHidden/>
          </w:rPr>
          <w:fldChar w:fldCharType="separate"/>
        </w:r>
        <w:r w:rsidR="00D34195">
          <w:rPr>
            <w:noProof/>
            <w:webHidden/>
          </w:rPr>
          <w:t>7</w:t>
        </w:r>
        <w:r>
          <w:rPr>
            <w:noProof/>
            <w:webHidden/>
          </w:rPr>
          <w:fldChar w:fldCharType="end"/>
        </w:r>
      </w:hyperlink>
    </w:p>
    <w:p w:rsidR="002E1661" w:rsidRDefault="002E1661">
      <w:pPr>
        <w:pStyle w:val="TOC2"/>
        <w:rPr>
          <w:rFonts w:asciiTheme="minorHAnsi" w:eastAsiaTheme="minorEastAsia" w:hAnsiTheme="minorHAnsi"/>
          <w:noProof/>
          <w:color w:val="auto"/>
          <w:sz w:val="22"/>
          <w:lang w:eastAsia="en-NZ"/>
        </w:rPr>
      </w:pPr>
      <w:hyperlink w:anchor="_Toc16260696" w:history="1">
        <w:r w:rsidRPr="001556A7">
          <w:rPr>
            <w:rStyle w:val="Hyperlink"/>
            <w:noProof/>
          </w:rPr>
          <w:t>Reasons for refusal</w:t>
        </w:r>
        <w:r>
          <w:rPr>
            <w:noProof/>
            <w:webHidden/>
          </w:rPr>
          <w:tab/>
        </w:r>
        <w:r>
          <w:rPr>
            <w:noProof/>
            <w:webHidden/>
          </w:rPr>
          <w:fldChar w:fldCharType="begin"/>
        </w:r>
        <w:r>
          <w:rPr>
            <w:noProof/>
            <w:webHidden/>
          </w:rPr>
          <w:instrText xml:space="preserve"> PAGEREF _Toc16260696 \h </w:instrText>
        </w:r>
        <w:r>
          <w:rPr>
            <w:noProof/>
            <w:webHidden/>
          </w:rPr>
        </w:r>
        <w:r>
          <w:rPr>
            <w:noProof/>
            <w:webHidden/>
          </w:rPr>
          <w:fldChar w:fldCharType="separate"/>
        </w:r>
        <w:r w:rsidR="00D34195">
          <w:rPr>
            <w:noProof/>
            <w:webHidden/>
          </w:rPr>
          <w:t>7</w:t>
        </w:r>
        <w:r>
          <w:rPr>
            <w:noProof/>
            <w:webHidden/>
          </w:rPr>
          <w:fldChar w:fldCharType="end"/>
        </w:r>
      </w:hyperlink>
    </w:p>
    <w:p w:rsidR="002E1661" w:rsidRDefault="002E1661">
      <w:pPr>
        <w:pStyle w:val="TOC3"/>
        <w:rPr>
          <w:rFonts w:asciiTheme="minorHAnsi" w:eastAsiaTheme="minorEastAsia" w:hAnsiTheme="minorHAnsi"/>
          <w:noProof/>
          <w:color w:val="auto"/>
          <w:sz w:val="22"/>
          <w:lang w:eastAsia="en-NZ"/>
        </w:rPr>
      </w:pPr>
      <w:hyperlink w:anchor="_Toc16260697" w:history="1">
        <w:r w:rsidRPr="001556A7">
          <w:rPr>
            <w:rStyle w:val="Hyperlink"/>
            <w:noProof/>
          </w:rPr>
          <w:t>Unwarranted disclosure of the affairs of another person</w:t>
        </w:r>
        <w:r>
          <w:rPr>
            <w:noProof/>
            <w:webHidden/>
          </w:rPr>
          <w:tab/>
        </w:r>
        <w:r>
          <w:rPr>
            <w:noProof/>
            <w:webHidden/>
          </w:rPr>
          <w:fldChar w:fldCharType="begin"/>
        </w:r>
        <w:r>
          <w:rPr>
            <w:noProof/>
            <w:webHidden/>
          </w:rPr>
          <w:instrText xml:space="preserve"> PAGEREF _Toc16260697 \h </w:instrText>
        </w:r>
        <w:r>
          <w:rPr>
            <w:noProof/>
            <w:webHidden/>
          </w:rPr>
        </w:r>
        <w:r>
          <w:rPr>
            <w:noProof/>
            <w:webHidden/>
          </w:rPr>
          <w:fldChar w:fldCharType="separate"/>
        </w:r>
        <w:r w:rsidR="00D34195">
          <w:rPr>
            <w:noProof/>
            <w:webHidden/>
          </w:rPr>
          <w:t>9</w:t>
        </w:r>
        <w:r>
          <w:rPr>
            <w:noProof/>
            <w:webHidden/>
          </w:rPr>
          <w:fldChar w:fldCharType="end"/>
        </w:r>
      </w:hyperlink>
    </w:p>
    <w:p w:rsidR="002E1661" w:rsidRDefault="002E1661">
      <w:pPr>
        <w:pStyle w:val="TOC3"/>
        <w:rPr>
          <w:rFonts w:asciiTheme="minorHAnsi" w:eastAsiaTheme="minorEastAsia" w:hAnsiTheme="minorHAnsi"/>
          <w:noProof/>
          <w:color w:val="auto"/>
          <w:sz w:val="22"/>
          <w:lang w:eastAsia="en-NZ"/>
        </w:rPr>
      </w:pPr>
      <w:hyperlink w:anchor="_Toc16260698" w:history="1">
        <w:r w:rsidRPr="001556A7">
          <w:rPr>
            <w:rStyle w:val="Hyperlink"/>
            <w:noProof/>
          </w:rPr>
          <w:t>Evaluative material</w:t>
        </w:r>
        <w:r>
          <w:rPr>
            <w:noProof/>
            <w:webHidden/>
          </w:rPr>
          <w:tab/>
        </w:r>
        <w:r>
          <w:rPr>
            <w:noProof/>
            <w:webHidden/>
          </w:rPr>
          <w:fldChar w:fldCharType="begin"/>
        </w:r>
        <w:r>
          <w:rPr>
            <w:noProof/>
            <w:webHidden/>
          </w:rPr>
          <w:instrText xml:space="preserve"> PAGEREF _Toc16260698 \h </w:instrText>
        </w:r>
        <w:r>
          <w:rPr>
            <w:noProof/>
            <w:webHidden/>
          </w:rPr>
        </w:r>
        <w:r>
          <w:rPr>
            <w:noProof/>
            <w:webHidden/>
          </w:rPr>
          <w:fldChar w:fldCharType="separate"/>
        </w:r>
        <w:r w:rsidR="00D34195">
          <w:rPr>
            <w:noProof/>
            <w:webHidden/>
          </w:rPr>
          <w:t>11</w:t>
        </w:r>
        <w:r>
          <w:rPr>
            <w:noProof/>
            <w:webHidden/>
          </w:rPr>
          <w:fldChar w:fldCharType="end"/>
        </w:r>
      </w:hyperlink>
    </w:p>
    <w:p w:rsidR="002E1661" w:rsidRDefault="002E1661">
      <w:pPr>
        <w:pStyle w:val="TOC2"/>
        <w:rPr>
          <w:rFonts w:asciiTheme="minorHAnsi" w:eastAsiaTheme="minorEastAsia" w:hAnsiTheme="minorHAnsi"/>
          <w:noProof/>
          <w:color w:val="auto"/>
          <w:sz w:val="22"/>
          <w:lang w:eastAsia="en-NZ"/>
        </w:rPr>
      </w:pPr>
      <w:hyperlink w:anchor="_Toc16260699" w:history="1">
        <w:r w:rsidRPr="001556A7">
          <w:rPr>
            <w:rStyle w:val="Hyperlink"/>
            <w:noProof/>
          </w:rPr>
          <w:t>Administrative issues</w:t>
        </w:r>
        <w:r>
          <w:rPr>
            <w:noProof/>
            <w:webHidden/>
          </w:rPr>
          <w:tab/>
        </w:r>
        <w:r>
          <w:rPr>
            <w:noProof/>
            <w:webHidden/>
          </w:rPr>
          <w:fldChar w:fldCharType="begin"/>
        </w:r>
        <w:r>
          <w:rPr>
            <w:noProof/>
            <w:webHidden/>
          </w:rPr>
          <w:instrText xml:space="preserve"> PAGEREF _Toc16260699 \h </w:instrText>
        </w:r>
        <w:r>
          <w:rPr>
            <w:noProof/>
            <w:webHidden/>
          </w:rPr>
        </w:r>
        <w:r>
          <w:rPr>
            <w:noProof/>
            <w:webHidden/>
          </w:rPr>
          <w:fldChar w:fldCharType="separate"/>
        </w:r>
        <w:r w:rsidR="00D34195">
          <w:rPr>
            <w:noProof/>
            <w:webHidden/>
          </w:rPr>
          <w:t>12</w:t>
        </w:r>
        <w:r>
          <w:rPr>
            <w:noProof/>
            <w:webHidden/>
          </w:rPr>
          <w:fldChar w:fldCharType="end"/>
        </w:r>
      </w:hyperlink>
    </w:p>
    <w:p w:rsidR="002E1661" w:rsidRDefault="002E1661">
      <w:pPr>
        <w:pStyle w:val="TOC1"/>
        <w:rPr>
          <w:rFonts w:asciiTheme="minorHAnsi" w:eastAsiaTheme="minorEastAsia" w:hAnsiTheme="minorHAnsi"/>
          <w:b w:val="0"/>
          <w:noProof/>
          <w:color w:val="auto"/>
          <w:sz w:val="22"/>
          <w:lang w:eastAsia="en-NZ"/>
        </w:rPr>
      </w:pPr>
      <w:hyperlink w:anchor="_Toc16260700" w:history="1">
        <w:r w:rsidRPr="001556A7">
          <w:rPr>
            <w:rStyle w:val="Hyperlink"/>
            <w:noProof/>
          </w:rPr>
          <w:t>What if a requester is unhappy with the decision made on their Part 4 request?</w:t>
        </w:r>
        <w:r>
          <w:rPr>
            <w:noProof/>
            <w:webHidden/>
          </w:rPr>
          <w:tab/>
        </w:r>
        <w:r>
          <w:rPr>
            <w:noProof/>
            <w:webHidden/>
          </w:rPr>
          <w:fldChar w:fldCharType="begin"/>
        </w:r>
        <w:r>
          <w:rPr>
            <w:noProof/>
            <w:webHidden/>
          </w:rPr>
          <w:instrText xml:space="preserve"> PAGEREF _Toc16260700 \h </w:instrText>
        </w:r>
        <w:r>
          <w:rPr>
            <w:noProof/>
            <w:webHidden/>
          </w:rPr>
        </w:r>
        <w:r>
          <w:rPr>
            <w:noProof/>
            <w:webHidden/>
          </w:rPr>
          <w:fldChar w:fldCharType="separate"/>
        </w:r>
        <w:r w:rsidR="00D34195">
          <w:rPr>
            <w:noProof/>
            <w:webHidden/>
          </w:rPr>
          <w:t>13</w:t>
        </w:r>
        <w:r>
          <w:rPr>
            <w:noProof/>
            <w:webHidden/>
          </w:rPr>
          <w:fldChar w:fldCharType="end"/>
        </w:r>
      </w:hyperlink>
    </w:p>
    <w:p w:rsidR="002E1661" w:rsidRDefault="002E1661">
      <w:pPr>
        <w:pStyle w:val="TOC1"/>
        <w:rPr>
          <w:rFonts w:asciiTheme="minorHAnsi" w:eastAsiaTheme="minorEastAsia" w:hAnsiTheme="minorHAnsi"/>
          <w:b w:val="0"/>
          <w:noProof/>
          <w:color w:val="auto"/>
          <w:sz w:val="22"/>
          <w:lang w:eastAsia="en-NZ"/>
        </w:rPr>
      </w:pPr>
      <w:hyperlink w:anchor="_Toc16260701" w:history="1">
        <w:r w:rsidRPr="001556A7">
          <w:rPr>
            <w:rStyle w:val="Hyperlink"/>
            <w:noProof/>
          </w:rPr>
          <w:t>Further guidance</w:t>
        </w:r>
        <w:r>
          <w:rPr>
            <w:noProof/>
            <w:webHidden/>
          </w:rPr>
          <w:tab/>
        </w:r>
        <w:r>
          <w:rPr>
            <w:noProof/>
            <w:webHidden/>
          </w:rPr>
          <w:fldChar w:fldCharType="begin"/>
        </w:r>
        <w:r>
          <w:rPr>
            <w:noProof/>
            <w:webHidden/>
          </w:rPr>
          <w:instrText xml:space="preserve"> PAGEREF _Toc16260701 \h </w:instrText>
        </w:r>
        <w:r>
          <w:rPr>
            <w:noProof/>
            <w:webHidden/>
          </w:rPr>
        </w:r>
        <w:r>
          <w:rPr>
            <w:noProof/>
            <w:webHidden/>
          </w:rPr>
          <w:fldChar w:fldCharType="separate"/>
        </w:r>
        <w:r w:rsidR="00D34195">
          <w:rPr>
            <w:noProof/>
            <w:webHidden/>
          </w:rPr>
          <w:t>13</w:t>
        </w:r>
        <w:r>
          <w:rPr>
            <w:noProof/>
            <w:webHidden/>
          </w:rPr>
          <w:fldChar w:fldCharType="end"/>
        </w:r>
      </w:hyperlink>
    </w:p>
    <w:p w:rsidR="009F4E72" w:rsidRDefault="00D34195" w:rsidP="00FE72DD">
      <w:pPr>
        <w:pStyle w:val="BodyText"/>
      </w:pPr>
      <w:r>
        <w:fldChar w:fldCharType="end"/>
      </w:r>
    </w:p>
    <w:p w:rsidR="00FE3EF7" w:rsidRDefault="00D34195" w:rsidP="00FE3EF7">
      <w:pPr>
        <w:pStyle w:val="Heading1"/>
        <w:pageBreakBefore/>
      </w:pPr>
      <w:bookmarkStart w:id="1" w:name="_Toc442781413"/>
      <w:bookmarkStart w:id="2" w:name="_Toc16260685"/>
      <w:r>
        <w:lastRenderedPageBreak/>
        <w:t>What is a Part 4 request?</w:t>
      </w:r>
      <w:bookmarkEnd w:id="1"/>
      <w:bookmarkEnd w:id="2"/>
    </w:p>
    <w:p w:rsidR="00FE3EF7" w:rsidRDefault="00D34195" w:rsidP="00FE3EF7">
      <w:pPr>
        <w:pStyle w:val="BodyText1"/>
      </w:pPr>
      <w:r>
        <w:t xml:space="preserve">A </w:t>
      </w:r>
      <w:hyperlink r:id="rId11" w:history="1">
        <w:r w:rsidRPr="00BA2B85">
          <w:rPr>
            <w:rStyle w:val="Hyperlink"/>
          </w:rPr>
          <w:t>Part 4</w:t>
        </w:r>
      </w:hyperlink>
      <w:r>
        <w:t xml:space="preserve"> request is one made by a corporate entity for </w:t>
      </w:r>
      <w:r w:rsidRPr="00693583">
        <w:t>personal information</w:t>
      </w:r>
      <w:r>
        <w:t xml:space="preserve"> about itself. M</w:t>
      </w:r>
      <w:r>
        <w:t>ost other</w:t>
      </w:r>
      <w:r w:rsidRPr="00693583">
        <w:t xml:space="preserve"> requests</w:t>
      </w:r>
      <w:r>
        <w:t xml:space="preserve"> for official information are considered under </w:t>
      </w:r>
      <w:hyperlink r:id="rId12" w:history="1">
        <w:r w:rsidRPr="00774E90">
          <w:rPr>
            <w:rStyle w:val="Hyperlink"/>
          </w:rPr>
          <w:t>Part 2</w:t>
        </w:r>
      </w:hyperlink>
      <w:r>
        <w:t xml:space="preserve"> of the OIA or LGO</w:t>
      </w:r>
      <w:r>
        <w:t>IMA.</w:t>
      </w:r>
    </w:p>
    <w:p w:rsidR="00FE3EF7" w:rsidRDefault="00D34195" w:rsidP="00FE3EF7">
      <w:pPr>
        <w:pStyle w:val="BodyText1"/>
      </w:pPr>
      <w:r>
        <w:t xml:space="preserve">Prior to the enactment of the Privacy Act 1993, Part 4 of the OIA and LGOIMA governed people’s right to access personal information about themselves. ‘People’ in this context included both individuals and corporate entities. </w:t>
      </w:r>
    </w:p>
    <w:p w:rsidR="00FE3EF7" w:rsidRDefault="00D34195" w:rsidP="00FE3EF7">
      <w:pPr>
        <w:pStyle w:val="BodyText1"/>
      </w:pPr>
      <w:r>
        <w:t>When the Privacy Act came into effect, individuals’ rights to access personal information about themselves became governed by that Act. This left Part 4 as a special code within the OIA and LGOIMA governing access by corporate entities to personal informat</w:t>
      </w:r>
      <w:r>
        <w:t xml:space="preserve">ion about themselves.  </w:t>
      </w:r>
    </w:p>
    <w:p w:rsidR="00FE3EF7" w:rsidRDefault="00D34195" w:rsidP="00FE3EF7">
      <w:pPr>
        <w:pStyle w:val="BodyText1"/>
        <w:widowControl w:val="0"/>
      </w:pPr>
      <w:r>
        <w:t xml:space="preserve">Part 4 gives corporate entities a </w:t>
      </w:r>
      <w:r w:rsidRPr="005B269B">
        <w:rPr>
          <w:rStyle w:val="Emphasis"/>
        </w:rPr>
        <w:t>right</w:t>
      </w:r>
      <w:r>
        <w:t xml:space="preserve"> of access to personal information about themselves that can be </w:t>
      </w:r>
      <w:r w:rsidRPr="00E12200">
        <w:t>readily retrieved</w:t>
      </w:r>
      <w:r>
        <w:t>.</w:t>
      </w:r>
      <w:r>
        <w:rPr>
          <w:rStyle w:val="FootnoteReference"/>
        </w:rPr>
        <w:footnoteReference w:id="2"/>
      </w:r>
      <w:r>
        <w:t xml:space="preserve"> Because there is a right of access, the reasons for refusing requests are more limited than the reasons for r</w:t>
      </w:r>
      <w:r>
        <w:t>efusing Part 2 requests. This reflects the widely held view that a person has the strongest claim to access information about themselves.</w:t>
      </w:r>
    </w:p>
    <w:tbl>
      <w:tblPr>
        <w:tblStyle w:val="TableBox"/>
        <w:tblW w:w="9297" w:type="dxa"/>
        <w:tblInd w:w="283" w:type="dxa"/>
        <w:tblLayout w:type="fixed"/>
        <w:tblLook w:val="04A0" w:firstRow="1" w:lastRow="0" w:firstColumn="1" w:lastColumn="0" w:noHBand="0" w:noVBand="1"/>
      </w:tblPr>
      <w:tblGrid>
        <w:gridCol w:w="9297"/>
      </w:tblGrid>
      <w:tr w:rsidR="00B22E86" w:rsidTr="00883D79">
        <w:tc>
          <w:tcPr>
            <w:tcW w:w="9297" w:type="dxa"/>
          </w:tcPr>
          <w:p w:rsidR="00FE3EF7" w:rsidRDefault="00D34195" w:rsidP="00883D79">
            <w:pPr>
              <w:pStyle w:val="Headingboxtexttop"/>
              <w:widowControl w:val="0"/>
            </w:pPr>
            <w:bookmarkStart w:id="3" w:name="_Who_can_make"/>
            <w:bookmarkEnd w:id="3"/>
            <w:r>
              <w:t>Related provisions</w:t>
            </w:r>
          </w:p>
          <w:p w:rsidR="00FE3EF7" w:rsidRPr="0026297B" w:rsidRDefault="00D34195" w:rsidP="00883D79">
            <w:pPr>
              <w:pStyle w:val="BodyText1"/>
              <w:widowControl w:val="0"/>
            </w:pPr>
            <w:r w:rsidRPr="0026297B">
              <w:t>Part 4 complement</w:t>
            </w:r>
            <w:r>
              <w:t>s</w:t>
            </w:r>
            <w:r w:rsidRPr="0026297B">
              <w:t xml:space="preserve"> other provisions </w:t>
            </w:r>
            <w:r>
              <w:t xml:space="preserve">in the legislation that </w:t>
            </w:r>
            <w:r w:rsidRPr="0026297B">
              <w:t xml:space="preserve">enable people </w:t>
            </w:r>
            <w:r>
              <w:t xml:space="preserve">and corporate entities </w:t>
            </w:r>
            <w:r w:rsidRPr="0026297B">
              <w:t>to</w:t>
            </w:r>
            <w:r w:rsidRPr="0026297B">
              <w:t xml:space="preserve"> request:</w:t>
            </w:r>
          </w:p>
          <w:p w:rsidR="00FE3EF7" w:rsidRPr="0026297B" w:rsidRDefault="00D34195" w:rsidP="00883D79">
            <w:pPr>
              <w:pStyle w:val="Boxsmallbullet1"/>
              <w:widowControl w:val="0"/>
            </w:pPr>
            <w:r w:rsidRPr="0026297B">
              <w:t xml:space="preserve">the </w:t>
            </w:r>
            <w:r w:rsidRPr="009B3AD4">
              <w:rPr>
                <w:rStyle w:val="Emphasis"/>
              </w:rPr>
              <w:t>internal rules</w:t>
            </w:r>
            <w:r w:rsidRPr="0026297B">
              <w:t xml:space="preserve"> that agencies use to make decisions about them;</w:t>
            </w:r>
            <w:r>
              <w:rPr>
                <w:rStyle w:val="FootnoteReference"/>
              </w:rPr>
              <w:footnoteReference w:id="3"/>
            </w:r>
            <w:r>
              <w:t xml:space="preserve"> and</w:t>
            </w:r>
          </w:p>
          <w:p w:rsidR="00FE3EF7" w:rsidRPr="0026297B" w:rsidRDefault="00D34195" w:rsidP="00883D79">
            <w:pPr>
              <w:pStyle w:val="Boxsmallbullet1"/>
              <w:widowControl w:val="0"/>
            </w:pPr>
            <w:r w:rsidRPr="0026297B">
              <w:t xml:space="preserve">the </w:t>
            </w:r>
            <w:r w:rsidRPr="009B3AD4">
              <w:rPr>
                <w:rStyle w:val="Emphasis"/>
              </w:rPr>
              <w:t>reasons</w:t>
            </w:r>
            <w:r w:rsidRPr="0026297B">
              <w:t xml:space="preserve"> for a decision which affects them personally</w:t>
            </w:r>
            <w:r>
              <w:t>.</w:t>
            </w:r>
            <w:r>
              <w:rPr>
                <w:rStyle w:val="FootnoteReference"/>
              </w:rPr>
              <w:footnoteReference w:id="4"/>
            </w:r>
          </w:p>
          <w:p w:rsidR="00FE3EF7" w:rsidRDefault="00D34195" w:rsidP="00883D79">
            <w:pPr>
              <w:pStyle w:val="BodyText1"/>
              <w:widowControl w:val="0"/>
            </w:pPr>
            <w:r w:rsidRPr="00CE57BD">
              <w:t>These</w:t>
            </w:r>
            <w:r>
              <w:t xml:space="preserve"> provisions also deal with</w:t>
            </w:r>
            <w:r w:rsidRPr="00CE57BD">
              <w:t xml:space="preserve"> special types of information to whic</w:t>
            </w:r>
            <w:r>
              <w:t>h people have a right of access.</w:t>
            </w:r>
            <w:r>
              <w:t xml:space="preserve"> They</w:t>
            </w:r>
            <w:r w:rsidRPr="00733E69">
              <w:t xml:space="preserve"> are about</w:t>
            </w:r>
            <w:r w:rsidRPr="00733E69">
              <w:t xml:space="preserve"> ensuring transparent and accountable decision making.</w:t>
            </w:r>
          </w:p>
          <w:p w:rsidR="00FE3EF7" w:rsidRDefault="00D34195" w:rsidP="00883D79">
            <w:pPr>
              <w:pStyle w:val="BodyText1"/>
              <w:widowControl w:val="0"/>
            </w:pPr>
            <w:r>
              <w:t>Here’s a table to help you figure out which rules apply to which requests.</w:t>
            </w:r>
          </w:p>
          <w:p w:rsidR="00FE3EF7" w:rsidRDefault="00D34195" w:rsidP="00883D79">
            <w:pPr>
              <w:pStyle w:val="BodyText1"/>
              <w:keepNext/>
              <w:widowControl w:val="0"/>
            </w:pPr>
            <w:r>
              <w:rPr>
                <w:noProof/>
                <w:lang w:eastAsia="en-NZ"/>
              </w:rPr>
              <w:drawing>
                <wp:inline distT="0" distB="0" distL="0" distR="0">
                  <wp:extent cx="5443200" cy="1571440"/>
                  <wp:effectExtent l="19050" t="0" r="5100" b="0"/>
                  <wp:docPr id="2" name="Picture 1" descr="C:\Users\antoniadm\AppData\Local\Microsoft\Windows\Temporary Internet Files\Content.Outlook\02J5D6O9\Ombudsman-Schematic-BLUE-v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686039" name="Picture 1" descr="C:\Users\antoniadm\AppData\Local\Microsoft\Windows\Temporary Internet Files\Content.Outlook\02J5D6O9\Ombudsman-Schematic-BLUE-v7.png"/>
                          <pic:cNvPicPr>
                            <a:picLocks noChangeAspect="1" noChangeArrowheads="1"/>
                          </pic:cNvPicPr>
                        </pic:nvPicPr>
                        <pic:blipFill>
                          <a:blip r:embed="rId13" cstate="print"/>
                          <a:stretch>
                            <a:fillRect/>
                          </a:stretch>
                        </pic:blipFill>
                        <pic:spPr bwMode="auto">
                          <a:xfrm>
                            <a:off x="0" y="0"/>
                            <a:ext cx="5443200" cy="1571440"/>
                          </a:xfrm>
                          <a:prstGeom prst="rect">
                            <a:avLst/>
                          </a:prstGeom>
                          <a:noFill/>
                          <a:ln w="9525">
                            <a:noFill/>
                            <a:miter lim="800000"/>
                            <a:headEnd/>
                            <a:tailEnd/>
                          </a:ln>
                        </pic:spPr>
                      </pic:pic>
                    </a:graphicData>
                  </a:graphic>
                </wp:inline>
              </w:drawing>
            </w:r>
          </w:p>
        </w:tc>
      </w:tr>
    </w:tbl>
    <w:p w:rsidR="00FE3EF7" w:rsidRDefault="00D34195" w:rsidP="00FE3EF7">
      <w:pPr>
        <w:pStyle w:val="Heading1"/>
      </w:pPr>
      <w:bookmarkStart w:id="4" w:name="_Toc442781414"/>
      <w:bookmarkStart w:id="5" w:name="_Toc16260686"/>
      <w:r>
        <w:lastRenderedPageBreak/>
        <w:t>Who can make a Part 4 request?</w:t>
      </w:r>
      <w:bookmarkEnd w:id="4"/>
      <w:bookmarkEnd w:id="5"/>
    </w:p>
    <w:p w:rsidR="00FE3EF7" w:rsidRDefault="00D34195" w:rsidP="00FE3EF7">
      <w:pPr>
        <w:pStyle w:val="BodyText1"/>
      </w:pPr>
      <w:r>
        <w:t xml:space="preserve">The eligibility requirements are different under the OIA and LGOIMA. </w:t>
      </w:r>
    </w:p>
    <w:p w:rsidR="00FE3EF7" w:rsidRDefault="00D34195" w:rsidP="00FE3EF7">
      <w:pPr>
        <w:pStyle w:val="Heading2"/>
      </w:pPr>
      <w:bookmarkStart w:id="6" w:name="_Toc442781415"/>
      <w:bookmarkStart w:id="7" w:name="_Toc16260687"/>
      <w:r>
        <w:t>Under the OIA</w:t>
      </w:r>
      <w:bookmarkEnd w:id="6"/>
      <w:bookmarkEnd w:id="7"/>
    </w:p>
    <w:p w:rsidR="00FE3EF7" w:rsidRDefault="00D34195" w:rsidP="00FE3EF7">
      <w:pPr>
        <w:pStyle w:val="BodyText1"/>
        <w:keepNext/>
      </w:pPr>
      <w:r>
        <w:t>Under th</w:t>
      </w:r>
      <w:r>
        <w:t xml:space="preserve">e OIA, Part 4 requests can </w:t>
      </w:r>
      <w:r w:rsidRPr="00E76420">
        <w:rPr>
          <w:rStyle w:val="Emphasis"/>
        </w:rPr>
        <w:t>only</w:t>
      </w:r>
      <w:r>
        <w:t xml:space="preserve"> be made by </w:t>
      </w:r>
      <w:r w:rsidRPr="00E25A19">
        <w:t>corporate entities</w:t>
      </w:r>
      <w:r>
        <w:t xml:space="preserve"> which:</w:t>
      </w:r>
      <w:r>
        <w:rPr>
          <w:rStyle w:val="FootnoteReference"/>
        </w:rPr>
        <w:footnoteReference w:id="5"/>
      </w:r>
    </w:p>
    <w:p w:rsidR="00FE3EF7" w:rsidRDefault="00D34195" w:rsidP="00FE3EF7">
      <w:pPr>
        <w:pStyle w:val="Bullet1"/>
        <w:keepNext/>
      </w:pPr>
      <w:r>
        <w:t>are incorporated in New Zealand; or</w:t>
      </w:r>
    </w:p>
    <w:p w:rsidR="00FE3EF7" w:rsidRDefault="00D34195" w:rsidP="00FE3EF7">
      <w:pPr>
        <w:pStyle w:val="Bullet1"/>
      </w:pPr>
      <w:r>
        <w:t>have a place of business here.</w:t>
      </w:r>
    </w:p>
    <w:p w:rsidR="00FE3EF7" w:rsidRDefault="00D34195" w:rsidP="00FE3EF7">
      <w:pPr>
        <w:pStyle w:val="Bullet1"/>
        <w:numPr>
          <w:ilvl w:val="0"/>
          <w:numId w:val="0"/>
        </w:numPr>
      </w:pPr>
      <w:r>
        <w:t xml:space="preserve">A corporate entity may be a company, an incorporated society, or any other body recognised as such by statute. To find out whether a requester is a company, search the </w:t>
      </w:r>
      <w:hyperlink r:id="rId14" w:history="1">
        <w:r w:rsidRPr="00DB0E95">
          <w:rPr>
            <w:rStyle w:val="Hyperlink"/>
          </w:rPr>
          <w:t>companies re</w:t>
        </w:r>
        <w:r w:rsidRPr="00DB0E95">
          <w:rPr>
            <w:rStyle w:val="Hyperlink"/>
          </w:rPr>
          <w:t>g</w:t>
        </w:r>
        <w:r w:rsidRPr="00DB0E95">
          <w:rPr>
            <w:rStyle w:val="Hyperlink"/>
          </w:rPr>
          <w:t>i</w:t>
        </w:r>
        <w:r w:rsidRPr="00DB0E95">
          <w:rPr>
            <w:rStyle w:val="Hyperlink"/>
          </w:rPr>
          <w:t>ster</w:t>
        </w:r>
      </w:hyperlink>
      <w:r>
        <w:t xml:space="preserve">. To find out whether a requester is an incorporated society, search the </w:t>
      </w:r>
      <w:hyperlink r:id="rId15" w:history="1">
        <w:r>
          <w:rPr>
            <w:rStyle w:val="Hyperlink"/>
          </w:rPr>
          <w:t>register</w:t>
        </w:r>
        <w:r>
          <w:rPr>
            <w:rStyle w:val="Hyperlink"/>
          </w:rPr>
          <w:t xml:space="preserve"> </w:t>
        </w:r>
        <w:r>
          <w:rPr>
            <w:rStyle w:val="Hyperlink"/>
          </w:rPr>
          <w:t>of s</w:t>
        </w:r>
        <w:r w:rsidRPr="00DB0E95">
          <w:rPr>
            <w:rStyle w:val="Hyperlink"/>
          </w:rPr>
          <w:t>ocieties and trusts</w:t>
        </w:r>
      </w:hyperlink>
      <w:r>
        <w:t>.</w:t>
      </w:r>
    </w:p>
    <w:p w:rsidR="00FE3EF7" w:rsidRDefault="00D34195" w:rsidP="00FE3EF7">
      <w:pPr>
        <w:pStyle w:val="Heading2"/>
      </w:pPr>
      <w:bookmarkStart w:id="8" w:name="_Toc442781416"/>
      <w:bookmarkStart w:id="9" w:name="_Toc16260688"/>
      <w:r>
        <w:t>Under the LGOIMA</w:t>
      </w:r>
      <w:bookmarkEnd w:id="8"/>
      <w:bookmarkEnd w:id="9"/>
    </w:p>
    <w:p w:rsidR="00FE3EF7" w:rsidRPr="00590BBD" w:rsidRDefault="00D34195" w:rsidP="00FE3EF7">
      <w:pPr>
        <w:pStyle w:val="BodyText1"/>
      </w:pPr>
      <w:r>
        <w:t>Un</w:t>
      </w:r>
      <w:r>
        <w:t xml:space="preserve">der the LGOIMA, Part 4 requests can be made by </w:t>
      </w:r>
      <w:r w:rsidRPr="009B3AD4">
        <w:rPr>
          <w:rStyle w:val="Emphasis"/>
        </w:rPr>
        <w:t>any person</w:t>
      </w:r>
      <w:r>
        <w:t xml:space="preserve"> who is not a </w:t>
      </w:r>
      <w:r w:rsidRPr="005059DB">
        <w:rPr>
          <w:rStyle w:val="Quotationwithinthesentence"/>
        </w:rPr>
        <w:t>‘natural person’</w:t>
      </w:r>
      <w:r>
        <w:t>.</w:t>
      </w:r>
      <w:r>
        <w:rPr>
          <w:rStyle w:val="FootnoteReference"/>
        </w:rPr>
        <w:footnoteReference w:id="6"/>
      </w:r>
      <w:r>
        <w:t xml:space="preserve"> The right can therefore be exercised by any corporate entity. Unlike under the OIA, this right is not restricted to corporate entities that are incorporated in New Ze</w:t>
      </w:r>
      <w:r>
        <w:t>aland or have a place of business here. It may be exercised by any non-natural person.</w:t>
      </w:r>
    </w:p>
    <w:tbl>
      <w:tblPr>
        <w:tblStyle w:val="TableBox"/>
        <w:tblW w:w="9297" w:type="dxa"/>
        <w:tblInd w:w="283" w:type="dxa"/>
        <w:tblLayout w:type="fixed"/>
        <w:tblLook w:val="04A0" w:firstRow="1" w:lastRow="0" w:firstColumn="1" w:lastColumn="0" w:noHBand="0" w:noVBand="1"/>
      </w:tblPr>
      <w:tblGrid>
        <w:gridCol w:w="9297"/>
      </w:tblGrid>
      <w:tr w:rsidR="00B22E86" w:rsidTr="00883D79">
        <w:tc>
          <w:tcPr>
            <w:tcW w:w="9297" w:type="dxa"/>
          </w:tcPr>
          <w:p w:rsidR="00FE3EF7" w:rsidRDefault="00D34195" w:rsidP="00883D79">
            <w:pPr>
              <w:pStyle w:val="Boxsmalltext"/>
            </w:pPr>
            <w:r>
              <w:t xml:space="preserve">Requests by </w:t>
            </w:r>
            <w:r w:rsidRPr="00F41546">
              <w:rPr>
                <w:rStyle w:val="Emphasis"/>
              </w:rPr>
              <w:t xml:space="preserve">individual natural persons </w:t>
            </w:r>
            <w:r>
              <w:t xml:space="preserve">for personal information about themselves are governed by </w:t>
            </w:r>
            <w:r w:rsidRPr="00F41546">
              <w:t>the Privacy Act</w:t>
            </w:r>
            <w:r>
              <w:t xml:space="preserve"> not the OIA or LGOIMA</w:t>
            </w:r>
            <w:r w:rsidRPr="00F41546">
              <w:t>.</w:t>
            </w:r>
          </w:p>
        </w:tc>
      </w:tr>
    </w:tbl>
    <w:p w:rsidR="00FE3EF7" w:rsidRDefault="00D34195" w:rsidP="00FE3EF7">
      <w:pPr>
        <w:pStyle w:val="Heading1"/>
      </w:pPr>
      <w:bookmarkStart w:id="10" w:name="_Toc442781417"/>
      <w:bookmarkStart w:id="11" w:name="_Toc16260689"/>
      <w:r>
        <w:t>How to make or recognise a Part</w:t>
      </w:r>
      <w:r>
        <w:t xml:space="preserve"> 4 request</w:t>
      </w:r>
      <w:bookmarkEnd w:id="10"/>
      <w:bookmarkEnd w:id="11"/>
    </w:p>
    <w:p w:rsidR="00FE3EF7" w:rsidRDefault="00D34195" w:rsidP="00FE3EF7">
      <w:pPr>
        <w:pStyle w:val="BodyText1"/>
      </w:pPr>
      <w:r>
        <w:t>There is no special way to make a Part 4 request. Requests can be made orally, or in writing.  The requester does not need to refer to Part 4 or any of its provisions. A Part 4 request may look like an ordinary OIA or LGOIMA request, but what se</w:t>
      </w:r>
      <w:r>
        <w:t xml:space="preserve">ts it apart is the nature of the requester and the nature of the information sought.  If a request is made by a corporate entity for personal information about itself, it </w:t>
      </w:r>
      <w:r w:rsidRPr="002649B7">
        <w:t>must</w:t>
      </w:r>
      <w:r>
        <w:t xml:space="preserve"> be considered under Part 4.</w:t>
      </w:r>
    </w:p>
    <w:p w:rsidR="00FE3EF7" w:rsidRDefault="00D34195" w:rsidP="00FE3EF7">
      <w:pPr>
        <w:pStyle w:val="BodyText1"/>
      </w:pPr>
      <w:r>
        <w:t xml:space="preserve">Any request by a corporate entity should </w:t>
      </w:r>
      <w:r w:rsidRPr="00B32071">
        <w:rPr>
          <w:rStyle w:val="Emphasis"/>
        </w:rPr>
        <w:t>raise a fla</w:t>
      </w:r>
      <w:r w:rsidRPr="00B32071">
        <w:rPr>
          <w:rStyle w:val="Emphasis"/>
        </w:rPr>
        <w:t>g</w:t>
      </w:r>
      <w:r>
        <w:t xml:space="preserve"> for the agency to consider whether it is a Part 4 request. Sometimes requests will be for a mix of personal information about the requester and information about other people or subjects. In that case, the request will need to be considered under both Pa</w:t>
      </w:r>
      <w:r>
        <w:t>rt 2 and Part 4.</w:t>
      </w:r>
    </w:p>
    <w:p w:rsidR="00FE3EF7" w:rsidRDefault="00D34195" w:rsidP="00FE3EF7">
      <w:pPr>
        <w:pStyle w:val="BodyText1"/>
      </w:pPr>
      <w:r>
        <w:t>The following are some common Part 4 requests that agencies might receive.</w:t>
      </w:r>
    </w:p>
    <w:p w:rsidR="00FE3EF7" w:rsidRDefault="00D34195" w:rsidP="00FE3EF7">
      <w:pPr>
        <w:pStyle w:val="Bullet1"/>
      </w:pPr>
      <w:r>
        <w:lastRenderedPageBreak/>
        <w:t>A corporate entity that has been audited by an agency seeking information about the audit.</w:t>
      </w:r>
    </w:p>
    <w:p w:rsidR="00FE3EF7" w:rsidRDefault="00D34195" w:rsidP="00FE3EF7">
      <w:pPr>
        <w:pStyle w:val="Bullet1"/>
      </w:pPr>
      <w:r>
        <w:t>A corporate entity that has tendered for a contract with an agency seekin</w:t>
      </w:r>
      <w:r>
        <w:t>g information about the evaluation of its tender.</w:t>
      </w:r>
    </w:p>
    <w:p w:rsidR="00FE3EF7" w:rsidRPr="00E57DD9" w:rsidRDefault="00D34195" w:rsidP="00FE3EF7">
      <w:pPr>
        <w:pStyle w:val="Bullet1"/>
      </w:pPr>
      <w:r>
        <w:t>A corporate entity that has applied for a permit, license or grant from an agency, seeking information about the evaluation of its application.</w:t>
      </w:r>
    </w:p>
    <w:p w:rsidR="00FE3EF7" w:rsidRDefault="00D34195" w:rsidP="00FE3EF7">
      <w:pPr>
        <w:pStyle w:val="BodyText1"/>
      </w:pPr>
      <w:r w:rsidRPr="00E57DD9">
        <w:t xml:space="preserve">If a corporate entity is requesting information about itself, </w:t>
      </w:r>
      <w:r w:rsidRPr="00E57DD9">
        <w:t xml:space="preserve">it </w:t>
      </w:r>
      <w:r>
        <w:t>help</w:t>
      </w:r>
      <w:r>
        <w:t>s</w:t>
      </w:r>
      <w:r w:rsidRPr="00E57DD9">
        <w:t xml:space="preserve"> to </w:t>
      </w:r>
      <w:r>
        <w:t xml:space="preserve">refer to </w:t>
      </w:r>
      <w:r w:rsidRPr="00E57DD9">
        <w:t xml:space="preserve">Part 4 explicitly, to ensure that the request is recognised and processed in accordance with </w:t>
      </w:r>
      <w:r>
        <w:t>its</w:t>
      </w:r>
      <w:r w:rsidRPr="00E57DD9">
        <w:t xml:space="preserve"> requirements. Requesters may seek urgency, provide</w:t>
      </w:r>
      <w:r>
        <w:t>d they give reasons</w:t>
      </w:r>
      <w:r w:rsidRPr="00E57DD9">
        <w:t>.</w:t>
      </w:r>
      <w:r>
        <w:rPr>
          <w:rStyle w:val="FootnoteReference"/>
        </w:rPr>
        <w:footnoteReference w:id="7"/>
      </w:r>
    </w:p>
    <w:p w:rsidR="00FE3EF7" w:rsidRDefault="00D34195" w:rsidP="00FE3EF7">
      <w:pPr>
        <w:pStyle w:val="Heading1"/>
      </w:pPr>
      <w:bookmarkStart w:id="12" w:name="_Toc442781418"/>
      <w:bookmarkStart w:id="13" w:name="_Toc16260690"/>
      <w:r>
        <w:t>Processing requirements</w:t>
      </w:r>
      <w:bookmarkEnd w:id="12"/>
      <w:bookmarkEnd w:id="13"/>
    </w:p>
    <w:p w:rsidR="00FE3EF7" w:rsidRDefault="00D34195" w:rsidP="00FE3EF7">
      <w:pPr>
        <w:pStyle w:val="BodyText1"/>
        <w:keepNext/>
      </w:pPr>
      <w:r>
        <w:t xml:space="preserve">The processing requirements for Part 4 </w:t>
      </w:r>
      <w:r>
        <w:t>requests are largely the same as they are for ordinary Part 2 requests.</w:t>
      </w:r>
    </w:p>
    <w:p w:rsidR="00FE3EF7" w:rsidRDefault="00D34195" w:rsidP="00FE3EF7">
      <w:pPr>
        <w:pStyle w:val="BodyText1"/>
        <w:keepNext/>
      </w:pPr>
      <w:r>
        <w:t>However, in addition, agencies must:</w:t>
      </w:r>
    </w:p>
    <w:p w:rsidR="00FE3EF7" w:rsidRDefault="00D34195" w:rsidP="00FE3EF7">
      <w:pPr>
        <w:pStyle w:val="Bullet1"/>
      </w:pPr>
      <w:r>
        <w:t xml:space="preserve">tell the requester of their </w:t>
      </w:r>
      <w:hyperlink w:anchor="_Right_of_correction" w:history="1">
        <w:r w:rsidRPr="00F41546">
          <w:rPr>
            <w:rStyle w:val="Hyperlink"/>
          </w:rPr>
          <w:t>right to request correction</w:t>
        </w:r>
      </w:hyperlink>
      <w:r>
        <w:t xml:space="preserve"> of the information; and</w:t>
      </w:r>
    </w:p>
    <w:p w:rsidR="00FE3EF7" w:rsidRDefault="00D34195" w:rsidP="00FE3EF7">
      <w:pPr>
        <w:pStyle w:val="Bullet1"/>
      </w:pPr>
      <w:r>
        <w:t xml:space="preserve">take certain </w:t>
      </w:r>
      <w:hyperlink w:anchor="_Precautions" w:history="1">
        <w:r w:rsidRPr="000F0443">
          <w:rPr>
            <w:rStyle w:val="Hyperlink"/>
          </w:rPr>
          <w:t>precautions</w:t>
        </w:r>
      </w:hyperlink>
      <w:r>
        <w:t xml:space="preserve"> before releasing the information.</w:t>
      </w:r>
    </w:p>
    <w:p w:rsidR="00FE3EF7" w:rsidRDefault="00D34195" w:rsidP="00FE3EF7">
      <w:pPr>
        <w:pStyle w:val="Heading2"/>
      </w:pPr>
      <w:bookmarkStart w:id="14" w:name="_Toc442781419"/>
      <w:bookmarkStart w:id="15" w:name="_Toc16260691"/>
      <w:r>
        <w:t>General processing requirements</w:t>
      </w:r>
      <w:bookmarkEnd w:id="14"/>
      <w:bookmarkEnd w:id="15"/>
    </w:p>
    <w:p w:rsidR="00FE3EF7" w:rsidRDefault="00D34195" w:rsidP="00FE3EF7">
      <w:pPr>
        <w:pStyle w:val="BodyText1"/>
        <w:keepNext/>
      </w:pPr>
      <w:r>
        <w:t>Agencies are still required</w:t>
      </w:r>
      <w:r>
        <w:t xml:space="preserve"> to</w:t>
      </w:r>
      <w:r>
        <w:t>:</w:t>
      </w:r>
      <w:r>
        <w:rPr>
          <w:rStyle w:val="FootnoteReference"/>
        </w:rPr>
        <w:footnoteReference w:id="8"/>
      </w:r>
    </w:p>
    <w:p w:rsidR="00FE3EF7" w:rsidRDefault="00D34195" w:rsidP="00FE3EF7">
      <w:pPr>
        <w:pStyle w:val="Bullet1"/>
        <w:keepNext/>
      </w:pPr>
      <w:r>
        <w:t>provide reasonable assistance to a requester to make a request;</w:t>
      </w:r>
    </w:p>
    <w:p w:rsidR="00FE3EF7" w:rsidRDefault="00D34195" w:rsidP="00FE3EF7">
      <w:pPr>
        <w:pStyle w:val="Bullet1"/>
      </w:pPr>
      <w:r>
        <w:t>transfer a request for information that is held b</w:t>
      </w:r>
      <w:r>
        <w:t>y another agency or more closely connected with its functions;</w:t>
      </w:r>
    </w:p>
    <w:p w:rsidR="00FE3EF7" w:rsidRDefault="00D34195" w:rsidP="00FE3EF7">
      <w:pPr>
        <w:pStyle w:val="Bullet1"/>
      </w:pPr>
      <w:r>
        <w:t xml:space="preserve">make and communicate their decision on a request for official information as soon as reasonably practicable and no later than 20 working days after the day it was received; </w:t>
      </w:r>
    </w:p>
    <w:p w:rsidR="00FE3EF7" w:rsidRDefault="00D34195" w:rsidP="00FE3EF7">
      <w:pPr>
        <w:pStyle w:val="Bullet1"/>
      </w:pPr>
      <w:r>
        <w:t>notify any extensio</w:t>
      </w:r>
      <w:r>
        <w:t xml:space="preserve">n of this maximum time period within 20 working days; </w:t>
      </w:r>
    </w:p>
    <w:p w:rsidR="00FE3EF7" w:rsidRDefault="00D34195" w:rsidP="00FE3EF7">
      <w:pPr>
        <w:pStyle w:val="Bullet1"/>
      </w:pPr>
      <w:r>
        <w:lastRenderedPageBreak/>
        <w:t>provide reasons for refusing a request, and tell the requester of their right to complain to the Ombudsman.</w:t>
      </w:r>
    </w:p>
    <w:p w:rsidR="00FE3EF7" w:rsidRDefault="00D34195" w:rsidP="00FE3EF7">
      <w:pPr>
        <w:pStyle w:val="BodyText1"/>
      </w:pPr>
      <w:r>
        <w:t>Agencies are also permitted to charge for the supply of personal information under Part 4.</w:t>
      </w:r>
      <w:r>
        <w:rPr>
          <w:rStyle w:val="FootnoteReference"/>
        </w:rPr>
        <w:footnoteReference w:id="9"/>
      </w:r>
      <w:r>
        <w:t xml:space="preserve"> T</w:t>
      </w:r>
      <w:r>
        <w:t>his is in contrast to personal information requests under the Privacy Act, for which public sector agencies are not generally permitted to charge.</w:t>
      </w:r>
      <w:r>
        <w:rPr>
          <w:rStyle w:val="FootnoteReference"/>
        </w:rPr>
        <w:footnoteReference w:id="10"/>
      </w:r>
    </w:p>
    <w:p w:rsidR="00FE3EF7" w:rsidRDefault="00D34195" w:rsidP="00FE3EF7">
      <w:pPr>
        <w:pStyle w:val="BodyText1"/>
      </w:pPr>
      <w:r>
        <w:t xml:space="preserve">For more information about the requirements for processing official information requests see </w:t>
      </w:r>
      <w:hyperlink r:id="rId16" w:history="1">
        <w:r w:rsidRPr="00B06E54">
          <w:rPr>
            <w:rStyle w:val="Hyperlink"/>
          </w:rPr>
          <w:t>The OIA for Ministers an</w:t>
        </w:r>
        <w:r w:rsidRPr="00B06E54">
          <w:rPr>
            <w:rStyle w:val="Hyperlink"/>
          </w:rPr>
          <w:t>d</w:t>
        </w:r>
        <w:r w:rsidRPr="00B06E54">
          <w:rPr>
            <w:rStyle w:val="Hyperlink"/>
          </w:rPr>
          <w:t xml:space="preserve"> agencies</w:t>
        </w:r>
      </w:hyperlink>
      <w:r>
        <w:t xml:space="preserve"> and </w:t>
      </w:r>
      <w:hyperlink r:id="rId17" w:history="1">
        <w:r w:rsidRPr="00B06E54">
          <w:rPr>
            <w:rStyle w:val="Hyperlink"/>
          </w:rPr>
          <w:t>The LGOIMA for local government agencies.</w:t>
        </w:r>
      </w:hyperlink>
    </w:p>
    <w:p w:rsidR="00FE3EF7" w:rsidRDefault="00D34195" w:rsidP="00FE3EF7">
      <w:pPr>
        <w:pStyle w:val="Heading2"/>
      </w:pPr>
      <w:bookmarkStart w:id="16" w:name="_Right_of_correction"/>
      <w:bookmarkStart w:id="17" w:name="_Toc442781420"/>
      <w:bookmarkStart w:id="18" w:name="_Toc16260692"/>
      <w:bookmarkEnd w:id="16"/>
      <w:r>
        <w:t>Right to request correction</w:t>
      </w:r>
      <w:bookmarkEnd w:id="17"/>
      <w:bookmarkEnd w:id="18"/>
    </w:p>
    <w:p w:rsidR="00FE3EF7" w:rsidRDefault="00D34195" w:rsidP="00FE3EF7">
      <w:pPr>
        <w:pStyle w:val="BodyText1"/>
      </w:pPr>
      <w:r>
        <w:t>When a Part 4 request is granted, agencies must tell the requester of their right to request correction of the information.</w:t>
      </w:r>
      <w:r>
        <w:rPr>
          <w:rStyle w:val="FootnoteReference"/>
        </w:rPr>
        <w:footnoteReference w:id="11"/>
      </w:r>
    </w:p>
    <w:p w:rsidR="00FE3EF7" w:rsidRDefault="00D34195" w:rsidP="00FE3EF7">
      <w:pPr>
        <w:pStyle w:val="Heading2"/>
      </w:pPr>
      <w:bookmarkStart w:id="19" w:name="_Precautions"/>
      <w:bookmarkStart w:id="20" w:name="_Toc442781421"/>
      <w:bookmarkStart w:id="21" w:name="_Toc16260693"/>
      <w:bookmarkEnd w:id="19"/>
      <w:r>
        <w:t>Precautions</w:t>
      </w:r>
      <w:bookmarkEnd w:id="20"/>
      <w:bookmarkEnd w:id="21"/>
      <w:r>
        <w:t xml:space="preserve"> </w:t>
      </w:r>
    </w:p>
    <w:p w:rsidR="00FE3EF7" w:rsidRDefault="00D34195" w:rsidP="00FE3EF7">
      <w:pPr>
        <w:pStyle w:val="BodyText1"/>
        <w:keepNext/>
      </w:pPr>
      <w:r>
        <w:t>The following precautions mu</w:t>
      </w:r>
      <w:r>
        <w:t>st be taken before releasing information in response to a Part 4 request.</w:t>
      </w:r>
      <w:r>
        <w:rPr>
          <w:rStyle w:val="FootnoteReference"/>
        </w:rPr>
        <w:footnoteReference w:id="12"/>
      </w:r>
      <w:r>
        <w:t xml:space="preserve"> </w:t>
      </w:r>
    </w:p>
    <w:p w:rsidR="00FE3EF7" w:rsidRDefault="00D34195" w:rsidP="00FE3EF7">
      <w:pPr>
        <w:pStyle w:val="Bullet1"/>
        <w:keepNext/>
      </w:pPr>
      <w:r>
        <w:t xml:space="preserve">The agency must be satisfied concerning the identity of the requester before releasing the information. </w:t>
      </w:r>
    </w:p>
    <w:p w:rsidR="00FE3EF7" w:rsidRDefault="00D34195" w:rsidP="00FE3EF7">
      <w:pPr>
        <w:pStyle w:val="Bullet1"/>
      </w:pPr>
      <w:r>
        <w:t xml:space="preserve">The agency must ensure through the adoption of appropriate procedures that </w:t>
      </w:r>
      <w:r>
        <w:t>the information is received only by the requester or their agent.</w:t>
      </w:r>
    </w:p>
    <w:p w:rsidR="00FE3EF7" w:rsidRDefault="00D34195" w:rsidP="00FE3EF7">
      <w:pPr>
        <w:pStyle w:val="Bullet1"/>
      </w:pPr>
      <w:r>
        <w:t>Where the request is made by an agent, the agency must ensure that person has the corporate entity’s written authority or other proper authorisation to obtain the information.</w:t>
      </w:r>
    </w:p>
    <w:p w:rsidR="00FE3EF7" w:rsidRDefault="00D34195" w:rsidP="00FE3EF7">
      <w:pPr>
        <w:pStyle w:val="Heading1"/>
      </w:pPr>
      <w:bookmarkStart w:id="22" w:name="_Toc442781422"/>
      <w:bookmarkStart w:id="23" w:name="_Toc16260694"/>
      <w:r>
        <w:t>Right to reque</w:t>
      </w:r>
      <w:r>
        <w:t>st correction</w:t>
      </w:r>
      <w:bookmarkEnd w:id="22"/>
      <w:bookmarkEnd w:id="23"/>
    </w:p>
    <w:p w:rsidR="00FE3EF7" w:rsidRDefault="00D34195" w:rsidP="00FE3EF7">
      <w:pPr>
        <w:pStyle w:val="BodyText1"/>
      </w:pPr>
      <w:r>
        <w:t>When a Part 4 request is granted, the requester may seek the correction of any personal information that they believe is inaccurate, or incomplete and misleading.</w:t>
      </w:r>
      <w:r>
        <w:rPr>
          <w:rStyle w:val="FootnoteReference"/>
        </w:rPr>
        <w:footnoteReference w:id="13"/>
      </w:r>
      <w:r>
        <w:t xml:space="preserve"> The agency must inform the requester of the action taken as a result of any su</w:t>
      </w:r>
      <w:r>
        <w:t>ch request.</w:t>
      </w:r>
      <w:r>
        <w:rPr>
          <w:rStyle w:val="FootnoteReference"/>
        </w:rPr>
        <w:footnoteReference w:id="14"/>
      </w:r>
      <w:r>
        <w:t xml:space="preserve"> If the agency </w:t>
      </w:r>
      <w:r>
        <w:lastRenderedPageBreak/>
        <w:t>declines to correct the information, the requester may require that a note be attached to the information indicating the nature of the correction sought but not made.</w:t>
      </w:r>
      <w:r>
        <w:rPr>
          <w:rStyle w:val="FootnoteReference"/>
        </w:rPr>
        <w:footnoteReference w:id="15"/>
      </w:r>
    </w:p>
    <w:p w:rsidR="00FE3EF7" w:rsidRDefault="00D34195" w:rsidP="00FE3EF7">
      <w:pPr>
        <w:pStyle w:val="Heading1"/>
        <w:spacing w:after="240"/>
      </w:pPr>
      <w:bookmarkStart w:id="24" w:name="_Toc442781423"/>
      <w:bookmarkStart w:id="25" w:name="_Toc16260695"/>
      <w:r>
        <w:t>Reasons for refusing Part 4 requests</w:t>
      </w:r>
      <w:bookmarkEnd w:id="24"/>
      <w:bookmarkEnd w:id="25"/>
    </w:p>
    <w:p w:rsidR="00FE3EF7" w:rsidRDefault="00D34195" w:rsidP="00FE3EF7">
      <w:pPr>
        <w:pStyle w:val="BodyText1"/>
      </w:pPr>
      <w:r>
        <w:t xml:space="preserve">Because there is a </w:t>
      </w:r>
      <w:r w:rsidRPr="007213FC">
        <w:rPr>
          <w:rStyle w:val="Emphasis"/>
        </w:rPr>
        <w:t>right</w:t>
      </w:r>
      <w:r>
        <w:t xml:space="preserve"> of access by corporate entities to personal information about themselves, the reasons for refusing such requests are more limited. </w:t>
      </w:r>
    </w:p>
    <w:p w:rsidR="00FE3EF7" w:rsidRDefault="00D34195" w:rsidP="00FE3EF7">
      <w:pPr>
        <w:pStyle w:val="Heading2"/>
        <w:spacing w:before="240"/>
      </w:pPr>
      <w:bookmarkStart w:id="26" w:name="_Toc442781424"/>
      <w:bookmarkStart w:id="27" w:name="_Toc16260696"/>
      <w:r>
        <w:t>Reasons for refusal</w:t>
      </w:r>
      <w:bookmarkEnd w:id="26"/>
      <w:bookmarkEnd w:id="27"/>
    </w:p>
    <w:p w:rsidR="00FE3EF7" w:rsidRDefault="00D34195" w:rsidP="00FE3EF7">
      <w:pPr>
        <w:pStyle w:val="BodyText1"/>
      </w:pPr>
      <w:r>
        <w:t>Part 4 incorporates the following withholding grounds from Part 2:</w:t>
      </w:r>
      <w:r>
        <w:rPr>
          <w:rStyle w:val="FootnoteReference"/>
        </w:rPr>
        <w:footnoteReference w:id="16"/>
      </w:r>
      <w:r>
        <w:t xml:space="preserve"> </w:t>
      </w:r>
    </w:p>
    <w:p w:rsidR="00FE3EF7" w:rsidRDefault="00D34195" w:rsidP="00FE3EF7">
      <w:pPr>
        <w:pStyle w:val="Bullet1"/>
      </w:pPr>
      <w:r>
        <w:t xml:space="preserve">security, defence and </w:t>
      </w:r>
      <w:r>
        <w:t>international relations (</w:t>
      </w:r>
      <w:r w:rsidRPr="00236EC6">
        <w:rPr>
          <w:rStyle w:val="Emphasis"/>
        </w:rPr>
        <w:t>OIA only</w:t>
      </w:r>
      <w:r>
        <w:t>);</w:t>
      </w:r>
      <w:r>
        <w:rPr>
          <w:rStyle w:val="FootnoteReference"/>
        </w:rPr>
        <w:footnoteReference w:id="17"/>
      </w:r>
    </w:p>
    <w:p w:rsidR="00FE3EF7" w:rsidRDefault="00D34195" w:rsidP="00FE3EF7">
      <w:pPr>
        <w:pStyle w:val="Bullet1"/>
      </w:pPr>
      <w:r>
        <w:t>confidential information provided by another country or international organisation (</w:t>
      </w:r>
      <w:r w:rsidRPr="00236EC6">
        <w:rPr>
          <w:rStyle w:val="Emphasis"/>
        </w:rPr>
        <w:t>OIA only</w:t>
      </w:r>
      <w:r>
        <w:t>);</w:t>
      </w:r>
      <w:r>
        <w:rPr>
          <w:rStyle w:val="FootnoteReference"/>
        </w:rPr>
        <w:footnoteReference w:id="18"/>
      </w:r>
    </w:p>
    <w:p w:rsidR="00FE3EF7" w:rsidRDefault="00D34195" w:rsidP="00FE3EF7">
      <w:pPr>
        <w:pStyle w:val="Bullet1"/>
      </w:pPr>
      <w:r>
        <w:t>maintenance of the law;</w:t>
      </w:r>
      <w:r>
        <w:rPr>
          <w:rStyle w:val="FootnoteReference"/>
        </w:rPr>
        <w:footnoteReference w:id="19"/>
      </w:r>
    </w:p>
    <w:p w:rsidR="00FE3EF7" w:rsidRDefault="00D34195" w:rsidP="00FE3EF7">
      <w:pPr>
        <w:pStyle w:val="Bullet1"/>
      </w:pPr>
      <w:r>
        <w:t>personal safety;</w:t>
      </w:r>
      <w:r>
        <w:rPr>
          <w:rStyle w:val="FootnoteReference"/>
        </w:rPr>
        <w:footnoteReference w:id="20"/>
      </w:r>
      <w:r>
        <w:t xml:space="preserve"> and</w:t>
      </w:r>
    </w:p>
    <w:p w:rsidR="00FE3EF7" w:rsidRDefault="00D34195" w:rsidP="00FE3EF7">
      <w:pPr>
        <w:pStyle w:val="Bullet1"/>
      </w:pPr>
      <w:r>
        <w:t>disclosure of a trade secret / unreasonable prejudice to the commercial posi</w:t>
      </w:r>
      <w:r>
        <w:t>tion of a third party (subject to the public interest test).</w:t>
      </w:r>
      <w:r>
        <w:rPr>
          <w:rStyle w:val="FootnoteReference"/>
        </w:rPr>
        <w:footnoteReference w:id="21"/>
      </w:r>
    </w:p>
    <w:p w:rsidR="00FE3EF7" w:rsidRDefault="00D34195" w:rsidP="00FE3EF7">
      <w:pPr>
        <w:pStyle w:val="BodyText1"/>
      </w:pPr>
      <w:r>
        <w:t>The right of access in Part 4 is also subject to section 10 of the OIA (section 8 of the LGOIMA).</w:t>
      </w:r>
      <w:r>
        <w:rPr>
          <w:rStyle w:val="FootnoteReference"/>
        </w:rPr>
        <w:footnoteReference w:id="22"/>
      </w:r>
      <w:r>
        <w:t xml:space="preserve"> This means an agency may refuse to </w:t>
      </w:r>
      <w:r w:rsidRPr="005557F2">
        <w:rPr>
          <w:rStyle w:val="Emphasis"/>
        </w:rPr>
        <w:t>confirm or deny</w:t>
      </w:r>
      <w:r>
        <w:t xml:space="preserve"> the existence or non-existence of informatio</w:t>
      </w:r>
      <w:r>
        <w:t xml:space="preserve">n if that would be likely to prejudice the interests protected by sections 6, 7 or 9(2)(b) of the OIA (sections 6 or 7(2)(b) of the LGOIMA). </w:t>
      </w:r>
    </w:p>
    <w:p w:rsidR="00FE3EF7" w:rsidRDefault="00D34195" w:rsidP="00FE3EF7">
      <w:pPr>
        <w:pStyle w:val="BodyText1"/>
      </w:pPr>
      <w:r>
        <w:t xml:space="preserve">For further guidance on the withholding grounds </w:t>
      </w:r>
      <w:r w:rsidRPr="00C55161">
        <w:t xml:space="preserve">see our </w:t>
      </w:r>
      <w:hyperlink r:id="rId18" w:history="1">
        <w:r w:rsidRPr="008A147C">
          <w:rPr>
            <w:rStyle w:val="HyperlinkSourceTextReference"/>
          </w:rPr>
          <w:t>official information legislation guides</w:t>
        </w:r>
      </w:hyperlink>
      <w:r w:rsidRPr="00C55161">
        <w:t xml:space="preserve">. </w:t>
      </w:r>
    </w:p>
    <w:tbl>
      <w:tblPr>
        <w:tblStyle w:val="TableBox"/>
        <w:tblW w:w="9297" w:type="dxa"/>
        <w:tblInd w:w="283" w:type="dxa"/>
        <w:tblLayout w:type="fixed"/>
        <w:tblLook w:val="04A0" w:firstRow="1" w:lastRow="0" w:firstColumn="1" w:lastColumn="0" w:noHBand="0" w:noVBand="1"/>
      </w:tblPr>
      <w:tblGrid>
        <w:gridCol w:w="9297"/>
      </w:tblGrid>
      <w:tr w:rsidR="00B22E86" w:rsidTr="00883D79">
        <w:tc>
          <w:tcPr>
            <w:tcW w:w="9297" w:type="dxa"/>
          </w:tcPr>
          <w:p w:rsidR="00FE3EF7" w:rsidRPr="007D5753" w:rsidRDefault="00D34195" w:rsidP="00EB2986">
            <w:pPr>
              <w:pStyle w:val="Headingboxtexttop"/>
              <w:keepNext/>
              <w:keepLines/>
            </w:pPr>
            <w:r>
              <w:lastRenderedPageBreak/>
              <w:t xml:space="preserve">But it’s free and frank... </w:t>
            </w:r>
          </w:p>
          <w:p w:rsidR="00FE3EF7" w:rsidRDefault="00D34195" w:rsidP="00EB2986">
            <w:pPr>
              <w:pStyle w:val="Boxsmalltext"/>
              <w:keepNext/>
              <w:keepLines/>
            </w:pPr>
            <w:r>
              <w:t xml:space="preserve">Part 4 requests </w:t>
            </w:r>
            <w:r w:rsidRPr="00236EC6">
              <w:rPr>
                <w:rStyle w:val="Emphasis"/>
              </w:rPr>
              <w:t>cannot be refused</w:t>
            </w:r>
            <w:r>
              <w:t xml:space="preserve"> on the grounds that release would prejudice the effective conduct of public affairs t</w:t>
            </w:r>
            <w:r>
              <w:t xml:space="preserve">hrough the </w:t>
            </w:r>
            <w:r w:rsidRPr="005557F2">
              <w:rPr>
                <w:rStyle w:val="Emphasis"/>
              </w:rPr>
              <w:t>free and frank</w:t>
            </w:r>
            <w:r>
              <w:t xml:space="preserve"> expression of opinions (section 9(2)(g)(</w:t>
            </w:r>
            <w:proofErr w:type="spellStart"/>
            <w:r>
              <w:t>i</w:t>
            </w:r>
            <w:proofErr w:type="spellEnd"/>
            <w:r>
              <w:t>) OIA / section 7(2)(f)(</w:t>
            </w:r>
            <w:proofErr w:type="spellStart"/>
            <w:r>
              <w:t>i</w:t>
            </w:r>
            <w:proofErr w:type="spellEnd"/>
            <w:r>
              <w:t>) LGOIMA). This is similar to the position under the Privacy Act, which also has no direct equivalent to the free and frank withholding ground under the OIA and LGO</w:t>
            </w:r>
            <w:r>
              <w:t>IMA. Officials writing about people (individuals or corporate entities) should anticipate that this material may be disclosed to the subjects and take care to express themselves in professional terms.</w:t>
            </w:r>
          </w:p>
        </w:tc>
      </w:tr>
    </w:tbl>
    <w:p w:rsidR="00FE3EF7" w:rsidRDefault="00D34195" w:rsidP="00EB2986">
      <w:pPr>
        <w:pStyle w:val="Whitespace"/>
        <w:keepNext/>
        <w:keepLines/>
      </w:pPr>
    </w:p>
    <w:p w:rsidR="00FE3EF7" w:rsidRDefault="00D34195" w:rsidP="00FE3EF7">
      <w:pPr>
        <w:pStyle w:val="Bullet2"/>
        <w:numPr>
          <w:ilvl w:val="0"/>
          <w:numId w:val="0"/>
        </w:numPr>
      </w:pPr>
      <w:r>
        <w:t>Part 4 requests may also be refused if:</w:t>
      </w:r>
    </w:p>
    <w:p w:rsidR="00FE3EF7" w:rsidRDefault="00D34195" w:rsidP="00FE3EF7">
      <w:pPr>
        <w:pStyle w:val="Bullet1"/>
      </w:pPr>
      <w:r>
        <w:t>disclosure wo</w:t>
      </w:r>
      <w:r>
        <w:t xml:space="preserve">uld involve the </w:t>
      </w:r>
      <w:hyperlink w:anchor="_Unwarranted_disclosure_of" w:history="1">
        <w:r w:rsidRPr="004D3303">
          <w:rPr>
            <w:rStyle w:val="Hyperlink"/>
          </w:rPr>
          <w:t>unwarranted disclosure of the affairs of another person</w:t>
        </w:r>
      </w:hyperlink>
      <w:r>
        <w:t xml:space="preserve"> (living or deceased);</w:t>
      </w:r>
      <w:r>
        <w:rPr>
          <w:rStyle w:val="FootnoteReference"/>
        </w:rPr>
        <w:footnoteReference w:id="23"/>
      </w:r>
    </w:p>
    <w:p w:rsidR="00FE3EF7" w:rsidRDefault="00D34195" w:rsidP="00FE3EF7">
      <w:pPr>
        <w:pStyle w:val="Bullet1"/>
      </w:pPr>
      <w:r w:rsidRPr="009D164C">
        <w:t>disclo</w:t>
      </w:r>
      <w:r>
        <w:t xml:space="preserve">sure of </w:t>
      </w:r>
      <w:hyperlink w:anchor="_Evaluative_material" w:history="1">
        <w:r w:rsidRPr="009D164C">
          <w:rPr>
            <w:rStyle w:val="Hyperlink"/>
          </w:rPr>
          <w:t>evaluative material</w:t>
        </w:r>
      </w:hyperlink>
      <w:r w:rsidRPr="009D164C">
        <w:t>, or information that would identify the s</w:t>
      </w:r>
      <w:r w:rsidRPr="009D164C">
        <w:t xml:space="preserve">upplier of that material, </w:t>
      </w:r>
      <w:r>
        <w:t>would</w:t>
      </w:r>
      <w:r w:rsidRPr="009D164C">
        <w:t xml:space="preserve"> breach an express or implied promise made to the supplier that this informat</w:t>
      </w:r>
      <w:r>
        <w:t>ion would be held in confidence;</w:t>
      </w:r>
      <w:r>
        <w:rPr>
          <w:rStyle w:val="FootnoteReference"/>
        </w:rPr>
        <w:footnoteReference w:id="24"/>
      </w:r>
    </w:p>
    <w:p w:rsidR="00FE3EF7" w:rsidRDefault="00D34195" w:rsidP="00FE3EF7">
      <w:pPr>
        <w:pStyle w:val="Bullet1"/>
      </w:pPr>
      <w:r>
        <w:t>disclosure would breach legal professional privilege;</w:t>
      </w:r>
      <w:r>
        <w:rPr>
          <w:rStyle w:val="FootnoteReference"/>
        </w:rPr>
        <w:footnoteReference w:id="25"/>
      </w:r>
      <w:r>
        <w:t xml:space="preserve"> or</w:t>
      </w:r>
    </w:p>
    <w:p w:rsidR="00FE3EF7" w:rsidRDefault="00D34195" w:rsidP="00FE3EF7">
      <w:pPr>
        <w:pStyle w:val="Bullet1"/>
      </w:pPr>
      <w:r>
        <w:t>the request is frivolous or vexatious, or the informatio</w:t>
      </w:r>
      <w:r>
        <w:t>n requested is trivial.</w:t>
      </w:r>
      <w:r>
        <w:rPr>
          <w:rStyle w:val="FootnoteReference"/>
        </w:rPr>
        <w:footnoteReference w:id="26"/>
      </w:r>
    </w:p>
    <w:p w:rsidR="00FE3EF7" w:rsidRDefault="00D34195" w:rsidP="00FE3EF7">
      <w:pPr>
        <w:pStyle w:val="BodyText1"/>
        <w:keepNext/>
      </w:pPr>
      <w:r>
        <w:t xml:space="preserve">In addition, the right of access in Part 4 is subject to the </w:t>
      </w:r>
      <w:r w:rsidRPr="00F70A99">
        <w:t>savings provision</w:t>
      </w:r>
      <w:r>
        <w:t xml:space="preserve"> in section 52 of the OIA (section 44 of the LGOIMA),</w:t>
      </w:r>
      <w:r>
        <w:rPr>
          <w:rStyle w:val="FootnoteReference"/>
        </w:rPr>
        <w:footnoteReference w:id="27"/>
      </w:r>
      <w:r>
        <w:t xml:space="preserve"> which says that nothing in the Act:</w:t>
      </w:r>
    </w:p>
    <w:p w:rsidR="00FE3EF7" w:rsidRDefault="00D34195" w:rsidP="00FE3EF7">
      <w:pPr>
        <w:pStyle w:val="Bullet1"/>
        <w:keepNext/>
      </w:pPr>
      <w:r>
        <w:t xml:space="preserve">authorises or permits the disclosure of information which would constitute contempt of court or parliament; </w:t>
      </w:r>
    </w:p>
    <w:p w:rsidR="00FE3EF7" w:rsidRDefault="00D34195" w:rsidP="00FE3EF7">
      <w:pPr>
        <w:pStyle w:val="Bullet1"/>
      </w:pPr>
      <w:r>
        <w:t xml:space="preserve">derogates from </w:t>
      </w:r>
      <w:r w:rsidRPr="008D32E6">
        <w:t xml:space="preserve">any provision in any other </w:t>
      </w:r>
      <w:r>
        <w:t>A</w:t>
      </w:r>
      <w:r w:rsidRPr="008D32E6">
        <w:t>ct</w:t>
      </w:r>
      <w:r>
        <w:t>,</w:t>
      </w:r>
      <w:r w:rsidRPr="008D32E6">
        <w:t xml:space="preserve"> or </w:t>
      </w:r>
      <w:r>
        <w:t xml:space="preserve">in </w:t>
      </w:r>
      <w:r w:rsidRPr="008D32E6">
        <w:t>regulation</w:t>
      </w:r>
      <w:r>
        <w:t>s</w:t>
      </w:r>
      <w:r w:rsidRPr="008D32E6">
        <w:t xml:space="preserve"> </w:t>
      </w:r>
      <w:r>
        <w:t xml:space="preserve">in force prior to 1 July 1983, </w:t>
      </w:r>
      <w:r w:rsidRPr="008D32E6">
        <w:t>which imposes a prohibition or restriction in relat</w:t>
      </w:r>
      <w:r w:rsidRPr="008D32E6">
        <w:t>ion to the availability of official information</w:t>
      </w:r>
      <w:r>
        <w:t>,</w:t>
      </w:r>
      <w:r w:rsidRPr="008D32E6">
        <w:t xml:space="preserve"> or regulates the manner in which official information may be obtained or made available.</w:t>
      </w:r>
    </w:p>
    <w:tbl>
      <w:tblPr>
        <w:tblStyle w:val="TableBox"/>
        <w:tblW w:w="9297" w:type="dxa"/>
        <w:tblInd w:w="283" w:type="dxa"/>
        <w:tblLayout w:type="fixed"/>
        <w:tblLook w:val="04A0" w:firstRow="1" w:lastRow="0" w:firstColumn="1" w:lastColumn="0" w:noHBand="0" w:noVBand="1"/>
      </w:tblPr>
      <w:tblGrid>
        <w:gridCol w:w="9297"/>
      </w:tblGrid>
      <w:tr w:rsidR="00B22E86" w:rsidTr="00883D79">
        <w:tc>
          <w:tcPr>
            <w:tcW w:w="9297" w:type="dxa"/>
          </w:tcPr>
          <w:p w:rsidR="00FE3EF7" w:rsidRPr="007D5753" w:rsidRDefault="00D34195" w:rsidP="00883D79">
            <w:pPr>
              <w:pStyle w:val="Headingboxtexttop"/>
              <w:keepNext/>
            </w:pPr>
            <w:r>
              <w:lastRenderedPageBreak/>
              <w:t>What about the public interest in release?</w:t>
            </w:r>
          </w:p>
          <w:p w:rsidR="00FE3EF7" w:rsidRDefault="00D34195" w:rsidP="00883D79">
            <w:pPr>
              <w:pStyle w:val="BodyText1"/>
            </w:pPr>
            <w:r>
              <w:t>People familiar with the OIA and LGOIMA will know that some of the withhold</w:t>
            </w:r>
            <w:r>
              <w:t>ing grounds in Part 2 are subject to a public interest test.</w:t>
            </w:r>
            <w:r>
              <w:rPr>
                <w:rStyle w:val="FootnoteReference"/>
              </w:rPr>
              <w:footnoteReference w:id="28"/>
            </w:r>
            <w:r>
              <w:t xml:space="preserve"> If there is a </w:t>
            </w:r>
            <w:r w:rsidRPr="00C556B1">
              <w:t>public interest in release which outweighs the need to withhold the information, then the request cannot be refused.</w:t>
            </w:r>
            <w:r>
              <w:t xml:space="preserve"> </w:t>
            </w:r>
          </w:p>
          <w:p w:rsidR="00FE3EF7" w:rsidRDefault="00D34195" w:rsidP="00883D79">
            <w:pPr>
              <w:pStyle w:val="BodyText1"/>
            </w:pPr>
            <w:r>
              <w:t>The only Part 4 withholding ground that is subject to the publ</w:t>
            </w:r>
            <w:r>
              <w:t xml:space="preserve">ic interest test is the ‘trade secret / unreasonable prejudice to the commercial position of a third party’ ground that is incorporated from section 9(2)(b) of the OIA (section 7(2)(b) of the LGOIMA). </w:t>
            </w:r>
          </w:p>
          <w:p w:rsidR="00FE3EF7" w:rsidRDefault="00D34195" w:rsidP="00883D79">
            <w:pPr>
              <w:pStyle w:val="BodyText1"/>
            </w:pPr>
            <w:r>
              <w:t xml:space="preserve">However, because there is a </w:t>
            </w:r>
            <w:r w:rsidRPr="00A20D0B">
              <w:rPr>
                <w:rStyle w:val="Emphasis"/>
              </w:rPr>
              <w:t>right</w:t>
            </w:r>
            <w:r>
              <w:t xml:space="preserve"> of access to informa</w:t>
            </w:r>
            <w:r>
              <w:t>tion under Part 4 agencies should have strong reasons for withholding information. Even where there are strong reasons to withhold, agencies should consider whether a partial release can be made, or whether the requester’s interests in knowing what informa</w:t>
            </w:r>
            <w:r>
              <w:t>tion is held about them can be met by release in an alternative form (for instance, a summary).</w:t>
            </w:r>
          </w:p>
        </w:tc>
      </w:tr>
    </w:tbl>
    <w:p w:rsidR="00FE3EF7" w:rsidRDefault="00D34195" w:rsidP="00FE3EF7">
      <w:pPr>
        <w:pStyle w:val="Whitespace"/>
      </w:pPr>
    </w:p>
    <w:p w:rsidR="00FE3EF7" w:rsidRDefault="00D34195" w:rsidP="00FE3EF7">
      <w:pPr>
        <w:pStyle w:val="Heading3"/>
      </w:pPr>
      <w:bookmarkStart w:id="28" w:name="_Unwarranted_disclosure_of"/>
      <w:bookmarkStart w:id="29" w:name="_Toc442781425"/>
      <w:bookmarkStart w:id="30" w:name="_Toc16260697"/>
      <w:bookmarkEnd w:id="28"/>
      <w:r>
        <w:t>Unwarranted disclosure of the affairs of another person</w:t>
      </w:r>
      <w:bookmarkEnd w:id="29"/>
      <w:bookmarkEnd w:id="30"/>
    </w:p>
    <w:p w:rsidR="00FE3EF7" w:rsidRDefault="00D34195" w:rsidP="00FE3EF7">
      <w:pPr>
        <w:pStyle w:val="BodyText1"/>
      </w:pPr>
      <w:r>
        <w:t xml:space="preserve">An agency may refuse a Part 4 request if release would involve the </w:t>
      </w:r>
      <w:r w:rsidRPr="00693583">
        <w:t>unwarranted disclosure of the affai</w:t>
      </w:r>
      <w:r w:rsidRPr="00693583">
        <w:t>rs of another person.</w:t>
      </w:r>
      <w:r>
        <w:rPr>
          <w:rStyle w:val="FootnoteReference"/>
        </w:rPr>
        <w:footnoteReference w:id="29"/>
      </w:r>
      <w:r>
        <w:t xml:space="preserve"> </w:t>
      </w:r>
    </w:p>
    <w:p w:rsidR="00FE3EF7" w:rsidRDefault="00D34195" w:rsidP="00FE3EF7">
      <w:pPr>
        <w:pStyle w:val="BodyText1"/>
      </w:pPr>
      <w:r>
        <w:t>There are two issues to consider.</w:t>
      </w:r>
    </w:p>
    <w:p w:rsidR="00FE3EF7" w:rsidRDefault="00D34195" w:rsidP="00FE3EF7">
      <w:pPr>
        <w:pStyle w:val="Number1"/>
      </w:pPr>
      <w:r>
        <w:t>Does the information disclose the affairs of another person?</w:t>
      </w:r>
    </w:p>
    <w:p w:rsidR="00FE3EF7" w:rsidRDefault="00D34195" w:rsidP="00FE3EF7">
      <w:pPr>
        <w:pStyle w:val="BodyText1"/>
      </w:pPr>
      <w:r w:rsidRPr="00B77463">
        <w:rPr>
          <w:rStyle w:val="Quotationwithinthesentence"/>
        </w:rPr>
        <w:t>‘Another person’</w:t>
      </w:r>
      <w:r w:rsidRPr="00DB5CA7">
        <w:t xml:space="preserve"> in this context may be a natural person (including a deceased natural person)</w:t>
      </w:r>
      <w:r>
        <w:t>,</w:t>
      </w:r>
      <w:r w:rsidRPr="00DB5CA7">
        <w:t xml:space="preserve"> or a </w:t>
      </w:r>
      <w:r>
        <w:t>corporate entity</w:t>
      </w:r>
      <w:r w:rsidRPr="00DB5CA7">
        <w:t xml:space="preserve"> other than the requ</w:t>
      </w:r>
      <w:r w:rsidRPr="00DB5CA7">
        <w:t xml:space="preserve">ester. </w:t>
      </w:r>
      <w:r>
        <w:t>T</w:t>
      </w:r>
      <w:r w:rsidRPr="00DB5CA7">
        <w:t>he term</w:t>
      </w:r>
      <w:r w:rsidRPr="00B77463">
        <w:rPr>
          <w:rStyle w:val="Quotationwithinthesentence"/>
        </w:rPr>
        <w:t xml:space="preserve"> ‘affairs’</w:t>
      </w:r>
      <w:r w:rsidRPr="00DB5CA7">
        <w:t xml:space="preserve"> mus</w:t>
      </w:r>
      <w:r>
        <w:t xml:space="preserve">t be broadly interpreted to </w:t>
      </w:r>
      <w:r w:rsidRPr="00DB5CA7">
        <w:t xml:space="preserve">apply </w:t>
      </w:r>
      <w:r>
        <w:t xml:space="preserve">not only </w:t>
      </w:r>
      <w:r w:rsidRPr="00DB5CA7">
        <w:t>to situations of personal privacy</w:t>
      </w:r>
      <w:r>
        <w:t>,</w:t>
      </w:r>
      <w:r w:rsidRPr="00DB5CA7">
        <w:t xml:space="preserve"> but to </w:t>
      </w:r>
      <w:r w:rsidRPr="00637C7A">
        <w:t>all aspects of the ordinary pursuits of life, commercial or professional business</w:t>
      </w:r>
      <w:r w:rsidRPr="00DB5CA7">
        <w:t xml:space="preserve">. </w:t>
      </w:r>
      <w:r>
        <w:t>If the information</w:t>
      </w:r>
      <w:r w:rsidRPr="00DB5CA7">
        <w:t xml:space="preserve"> discloses what has happened to or been d</w:t>
      </w:r>
      <w:r w:rsidRPr="00DB5CA7">
        <w:t>one by a third party, it will disclose that party</w:t>
      </w:r>
      <w:r>
        <w:t>’</w:t>
      </w:r>
      <w:r w:rsidRPr="00DB5CA7">
        <w:t xml:space="preserve">s </w:t>
      </w:r>
      <w:r w:rsidRPr="00B77463">
        <w:rPr>
          <w:rStyle w:val="Quotationwithinthesentence"/>
        </w:rPr>
        <w:t>‘affairs’</w:t>
      </w:r>
      <w:r w:rsidRPr="00DB5CA7">
        <w:t xml:space="preserve">. </w:t>
      </w:r>
    </w:p>
    <w:p w:rsidR="00FE3EF7" w:rsidRDefault="00D34195" w:rsidP="00FE3EF7">
      <w:pPr>
        <w:pStyle w:val="Number1"/>
        <w:keepNext/>
      </w:pPr>
      <w:r>
        <w:t xml:space="preserve">Would that disclosure be </w:t>
      </w:r>
      <w:r w:rsidRPr="00FB4F1C">
        <w:rPr>
          <w:rStyle w:val="Quotationwithinthesentence"/>
        </w:rPr>
        <w:t>‘unwarranted’</w:t>
      </w:r>
      <w:r>
        <w:t>?</w:t>
      </w:r>
    </w:p>
    <w:p w:rsidR="00FE3EF7" w:rsidRDefault="00D34195" w:rsidP="00FE3EF7">
      <w:pPr>
        <w:pStyle w:val="BodyText1"/>
        <w:keepNext/>
      </w:pPr>
      <w:r>
        <w:t xml:space="preserve">In deciding whether disclosure is </w:t>
      </w:r>
      <w:r w:rsidRPr="00017C3C">
        <w:rPr>
          <w:rStyle w:val="Quotationwithinthesentence"/>
        </w:rPr>
        <w:t>‘unwarranted’</w:t>
      </w:r>
      <w:r>
        <w:t xml:space="preserve">, agencies need to balance the requester’s </w:t>
      </w:r>
      <w:r w:rsidRPr="004A65D9">
        <w:rPr>
          <w:rStyle w:val="Emphasis"/>
        </w:rPr>
        <w:t>right of access</w:t>
      </w:r>
      <w:r>
        <w:t xml:space="preserve">, including why they need or may be entitled to the information, against the </w:t>
      </w:r>
      <w:r w:rsidRPr="004A65D9">
        <w:rPr>
          <w:rStyle w:val="Emphasis"/>
        </w:rPr>
        <w:t xml:space="preserve">privacy or confidentiality interests </w:t>
      </w:r>
      <w:r>
        <w:t xml:space="preserve">of the other person. </w:t>
      </w:r>
    </w:p>
    <w:p w:rsidR="00FE3EF7" w:rsidRDefault="00D34195" w:rsidP="00FE3EF7">
      <w:pPr>
        <w:pStyle w:val="BodyText1"/>
      </w:pPr>
      <w:r>
        <w:t>To get the balance right, agencies could consider partial release or release in an alternative form (for instance, a sum</w:t>
      </w:r>
      <w:r>
        <w:t>mary). The following factors may be relevant in undertaking this balancing exercise.</w:t>
      </w:r>
    </w:p>
    <w:tbl>
      <w:tblPr>
        <w:tblStyle w:val="TableGrid"/>
        <w:tblW w:w="9297" w:type="dxa"/>
        <w:tblInd w:w="108" w:type="dxa"/>
        <w:tblLayout w:type="fixed"/>
        <w:tblLook w:val="0620" w:firstRow="1" w:lastRow="0" w:firstColumn="0" w:lastColumn="0" w:noHBand="1" w:noVBand="1"/>
      </w:tblPr>
      <w:tblGrid>
        <w:gridCol w:w="2694"/>
        <w:gridCol w:w="6603"/>
      </w:tblGrid>
      <w:tr w:rsidR="00B22E86" w:rsidTr="00B22E86">
        <w:trPr>
          <w:cnfStyle w:val="100000000000" w:firstRow="1" w:lastRow="0" w:firstColumn="0" w:lastColumn="0" w:oddVBand="0" w:evenVBand="0" w:oddHBand="0" w:evenHBand="0" w:firstRowFirstColumn="0" w:firstRowLastColumn="0" w:lastRowFirstColumn="0" w:lastRowLastColumn="0"/>
          <w:cantSplit/>
        </w:trPr>
        <w:tc>
          <w:tcPr>
            <w:tcW w:w="2694" w:type="dxa"/>
            <w:shd w:val="clear" w:color="auto" w:fill="D3D3D3"/>
          </w:tcPr>
          <w:p w:rsidR="00FE3EF7" w:rsidRDefault="00D34195" w:rsidP="00883D79">
            <w:pPr>
              <w:pStyle w:val="BodyText"/>
            </w:pPr>
            <w:r>
              <w:rPr>
                <w:rStyle w:val="Emphasis"/>
              </w:rPr>
              <w:lastRenderedPageBreak/>
              <w:t xml:space="preserve">The nature and content of the information </w:t>
            </w:r>
          </w:p>
        </w:tc>
        <w:tc>
          <w:tcPr>
            <w:tcW w:w="6603" w:type="dxa"/>
            <w:shd w:val="clear" w:color="auto" w:fill="auto"/>
          </w:tcPr>
          <w:p w:rsidR="00FE3EF7" w:rsidRDefault="00D34195" w:rsidP="00883D79">
            <w:pPr>
              <w:pStyle w:val="Boxsmallbullet1"/>
            </w:pPr>
            <w:r>
              <w:t>What does the information reveal about the other person?</w:t>
            </w:r>
          </w:p>
          <w:p w:rsidR="00FE3EF7" w:rsidRDefault="00D34195" w:rsidP="00883D79">
            <w:pPr>
              <w:pStyle w:val="Boxsmallbullet1"/>
            </w:pPr>
            <w:r>
              <w:t>Is it of a confidential nature? If it is of a confidential nature (</w:t>
            </w:r>
            <w:proofErr w:type="spellStart"/>
            <w:r>
              <w:t>ie</w:t>
            </w:r>
            <w:proofErr w:type="spellEnd"/>
            <w:r>
              <w:t xml:space="preserve">, unknown to others), disclosure is more likely to be </w:t>
            </w:r>
            <w:r w:rsidRPr="009F5F97">
              <w:rPr>
                <w:rStyle w:val="Quotationwithinthesentence"/>
              </w:rPr>
              <w:t>‘unwarranted’</w:t>
            </w:r>
            <w:r>
              <w:t>. If it is already known to the requester, or in the public domain, disclosure is less</w:t>
            </w:r>
            <w:r w:rsidRPr="00F8060D">
              <w:t xml:space="preserve"> likely to be an unwarranted breac</w:t>
            </w:r>
            <w:r w:rsidRPr="00F8060D">
              <w:t>h of the other person</w:t>
            </w:r>
            <w:r>
              <w:t>’s private or confidential affairs</w:t>
            </w:r>
            <w:r w:rsidRPr="00F8060D">
              <w:t>.</w:t>
            </w:r>
          </w:p>
          <w:p w:rsidR="00FE3EF7" w:rsidRPr="009F5F97" w:rsidRDefault="00D34195" w:rsidP="00883D79">
            <w:pPr>
              <w:pStyle w:val="Boxsmallbullet1"/>
            </w:pPr>
            <w:r>
              <w:t xml:space="preserve">Is it of a sensitive nature?  The more sensitive the details are, the more likely the other person’s private or confidential interests will outweigh the requester's right of access.  </w:t>
            </w:r>
          </w:p>
        </w:tc>
      </w:tr>
      <w:tr w:rsidR="00B22E86" w:rsidTr="00B22E86">
        <w:trPr>
          <w:cantSplit/>
        </w:trPr>
        <w:tc>
          <w:tcPr>
            <w:tcW w:w="2694" w:type="dxa"/>
            <w:shd w:val="clear" w:color="auto" w:fill="D3D3D3"/>
          </w:tcPr>
          <w:p w:rsidR="00FE3EF7" w:rsidRDefault="00D34195" w:rsidP="00883D79">
            <w:pPr>
              <w:pStyle w:val="BodyText"/>
              <w:rPr>
                <w:rStyle w:val="Emphasis"/>
              </w:rPr>
            </w:pPr>
            <w:r>
              <w:rPr>
                <w:rStyle w:val="Emphasis"/>
              </w:rPr>
              <w:t>The other pers</w:t>
            </w:r>
            <w:r>
              <w:rPr>
                <w:rStyle w:val="Emphasis"/>
              </w:rPr>
              <w:t xml:space="preserve">on’s expectations or views </w:t>
            </w:r>
          </w:p>
        </w:tc>
        <w:tc>
          <w:tcPr>
            <w:tcW w:w="6603" w:type="dxa"/>
            <w:shd w:val="clear" w:color="auto" w:fill="auto"/>
          </w:tcPr>
          <w:p w:rsidR="00FE3EF7" w:rsidRDefault="00D34195" w:rsidP="00883D79">
            <w:pPr>
              <w:pStyle w:val="Boxsmallbullet1"/>
            </w:pPr>
            <w:r>
              <w:t xml:space="preserve">What were the other person’s expectations about how the information would be used and disclosed? Were they told it would be kept confidential? Could they reasonably have expected it to be kept confidential? </w:t>
            </w:r>
          </w:p>
          <w:p w:rsidR="00FE3EF7" w:rsidRPr="00856CF5" w:rsidRDefault="00D34195" w:rsidP="00883D79">
            <w:pPr>
              <w:pStyle w:val="Boxsmallbullet1"/>
            </w:pPr>
            <w:r>
              <w:t>If the information i</w:t>
            </w:r>
            <w:r>
              <w:t xml:space="preserve">s in the form of a complaint about the requester, the other person may reasonably expect that it will be disclosed, at least to the extent that it is necessary to enable the agency to investigate that complaint, and the requester to respond to allegations </w:t>
            </w:r>
            <w:r>
              <w:t>against it.</w:t>
            </w:r>
          </w:p>
          <w:p w:rsidR="00FE3EF7" w:rsidRDefault="00D34195" w:rsidP="00883D79">
            <w:pPr>
              <w:pStyle w:val="Boxsmallbullet1"/>
            </w:pPr>
            <w:r>
              <w:t>What are the other person’s views about whether the information should be disclosed to the requester? Consider consulting them if this is not known or cannot be reliably inferred. If the other person does not object to the information being rel</w:t>
            </w:r>
            <w:r>
              <w:t xml:space="preserve">eased to the requester, disclosure is unlikely to be </w:t>
            </w:r>
            <w:r w:rsidRPr="009F5F97">
              <w:rPr>
                <w:rStyle w:val="Quotationwithinthesentence"/>
              </w:rPr>
              <w:t>‘unwarranted’</w:t>
            </w:r>
            <w:r>
              <w:t>.</w:t>
            </w:r>
          </w:p>
        </w:tc>
      </w:tr>
      <w:tr w:rsidR="00B22E86" w:rsidTr="00B22E86">
        <w:trPr>
          <w:cantSplit/>
        </w:trPr>
        <w:tc>
          <w:tcPr>
            <w:tcW w:w="2694" w:type="dxa"/>
            <w:shd w:val="clear" w:color="auto" w:fill="D3D3D3"/>
          </w:tcPr>
          <w:p w:rsidR="00FE3EF7" w:rsidRDefault="00D34195" w:rsidP="00883D79">
            <w:pPr>
              <w:pStyle w:val="BodyText"/>
              <w:rPr>
                <w:rStyle w:val="Emphasis"/>
              </w:rPr>
            </w:pPr>
            <w:r>
              <w:rPr>
                <w:rStyle w:val="Emphasis"/>
              </w:rPr>
              <w:t>The likelihood of harm from disclosure</w:t>
            </w:r>
          </w:p>
        </w:tc>
        <w:tc>
          <w:tcPr>
            <w:tcW w:w="6603" w:type="dxa"/>
            <w:shd w:val="clear" w:color="auto" w:fill="auto"/>
          </w:tcPr>
          <w:p w:rsidR="00FE3EF7" w:rsidRPr="00802BA6" w:rsidRDefault="00D34195" w:rsidP="00883D79">
            <w:pPr>
              <w:pStyle w:val="Boxsmallbullet1"/>
            </w:pPr>
            <w:r>
              <w:t>What harm might there be to the other person if the requester gets the information? For instance, would it:</w:t>
            </w:r>
          </w:p>
          <w:p w:rsidR="00FE3EF7" w:rsidRDefault="00D34195" w:rsidP="00883D79">
            <w:pPr>
              <w:pStyle w:val="Boxsmallbullet2"/>
            </w:pPr>
            <w:r>
              <w:t>expose them to harassment?</w:t>
            </w:r>
          </w:p>
          <w:p w:rsidR="00FE3EF7" w:rsidRDefault="00D34195" w:rsidP="00883D79">
            <w:pPr>
              <w:pStyle w:val="Boxsmallbullet2"/>
            </w:pPr>
            <w:r w:rsidRPr="00802BA6">
              <w:t>result in ser</w:t>
            </w:r>
            <w:r w:rsidRPr="00802BA6">
              <w:t>ious damage to relationships?</w:t>
            </w:r>
          </w:p>
          <w:p w:rsidR="00FE3EF7" w:rsidRPr="00802BA6" w:rsidRDefault="00D34195" w:rsidP="00883D79">
            <w:pPr>
              <w:pStyle w:val="Boxsmallbullet2"/>
            </w:pPr>
            <w:r>
              <w:t xml:space="preserve">affect their </w:t>
            </w:r>
            <w:r w:rsidRPr="00802BA6">
              <w:t>business</w:t>
            </w:r>
            <w:r>
              <w:t xml:space="preserve"> standing or</w:t>
            </w:r>
            <w:r w:rsidRPr="00802BA6">
              <w:t xml:space="preserve"> competitiveness?</w:t>
            </w:r>
          </w:p>
          <w:p w:rsidR="00FE3EF7" w:rsidRDefault="00D34195" w:rsidP="00883D79">
            <w:pPr>
              <w:pStyle w:val="Boxsmallbullet1"/>
            </w:pPr>
            <w:r>
              <w:t>The likelihood of harm may depend on the other person’s situation, for instance, whether they live in a small community, operate in a small industry etc. This is because discl</w:t>
            </w:r>
            <w:r>
              <w:t>osure in this context may have a larger or more disproportionate effect than disclosure in a large community or industry.</w:t>
            </w:r>
          </w:p>
          <w:p w:rsidR="00FE3EF7" w:rsidRDefault="00D34195" w:rsidP="00883D79">
            <w:pPr>
              <w:pStyle w:val="Boxsmallbullet1"/>
            </w:pPr>
            <w:r>
              <w:t>What other harm might result? For instance, would release prejudice the future supply of such information?</w:t>
            </w:r>
          </w:p>
        </w:tc>
      </w:tr>
      <w:tr w:rsidR="00B22E86" w:rsidTr="00B22E86">
        <w:trPr>
          <w:cantSplit/>
        </w:trPr>
        <w:tc>
          <w:tcPr>
            <w:tcW w:w="2694" w:type="dxa"/>
            <w:shd w:val="clear" w:color="auto" w:fill="D3D3D3"/>
          </w:tcPr>
          <w:p w:rsidR="00FE3EF7" w:rsidRDefault="00D34195" w:rsidP="00883D79">
            <w:pPr>
              <w:pStyle w:val="BodyText"/>
              <w:rPr>
                <w:rStyle w:val="Emphasis"/>
              </w:rPr>
            </w:pPr>
            <w:r>
              <w:rPr>
                <w:rStyle w:val="Emphasis"/>
              </w:rPr>
              <w:lastRenderedPageBreak/>
              <w:t xml:space="preserve">The requester’s need for </w:t>
            </w:r>
            <w:r>
              <w:rPr>
                <w:rStyle w:val="Emphasis"/>
              </w:rPr>
              <w:t>the information</w:t>
            </w:r>
          </w:p>
        </w:tc>
        <w:tc>
          <w:tcPr>
            <w:tcW w:w="6603" w:type="dxa"/>
            <w:shd w:val="clear" w:color="auto" w:fill="auto"/>
          </w:tcPr>
          <w:p w:rsidR="00FE3EF7" w:rsidRDefault="00D34195" w:rsidP="00883D79">
            <w:pPr>
              <w:pStyle w:val="Boxsmallbullet1"/>
            </w:pPr>
            <w:r>
              <w:t xml:space="preserve">Why does the requester need the information? Are there legitimate reasons why they should have access to it (or some of it)? If there are, then disclosure may be ‘warranted’. </w:t>
            </w:r>
          </w:p>
          <w:p w:rsidR="00FE3EF7" w:rsidRDefault="00D34195" w:rsidP="00883D79">
            <w:pPr>
              <w:pStyle w:val="Boxsmallbullet1"/>
            </w:pPr>
            <w:r>
              <w:t>For instance, disclosure may be warranted in circumstances where</w:t>
            </w:r>
            <w:r>
              <w:t xml:space="preserve"> the requester needs the information (or some of it) to have a full and fair opportunity to respond to allegations made against them. </w:t>
            </w:r>
          </w:p>
        </w:tc>
      </w:tr>
    </w:tbl>
    <w:p w:rsidR="00FE3EF7" w:rsidRDefault="00D34195" w:rsidP="00FE3EF7">
      <w:pPr>
        <w:pStyle w:val="Heading3"/>
      </w:pPr>
      <w:bookmarkStart w:id="31" w:name="_Evaluative_material"/>
      <w:bookmarkStart w:id="32" w:name="_Toc442781426"/>
      <w:bookmarkStart w:id="33" w:name="_Toc16260698"/>
      <w:bookmarkEnd w:id="31"/>
      <w:r>
        <w:t>Evaluative material</w:t>
      </w:r>
      <w:bookmarkEnd w:id="32"/>
      <w:bookmarkEnd w:id="33"/>
    </w:p>
    <w:p w:rsidR="00FE3EF7" w:rsidRDefault="00D34195" w:rsidP="00FE3EF7">
      <w:pPr>
        <w:pStyle w:val="BodyText1"/>
      </w:pPr>
      <w:r>
        <w:t xml:space="preserve">An agency may refuse a Part 4 request if it would involve disclosure </w:t>
      </w:r>
      <w:r w:rsidRPr="00693583">
        <w:t xml:space="preserve">of </w:t>
      </w:r>
      <w:r w:rsidRPr="00693583">
        <w:rPr>
          <w:rStyle w:val="Quotationwithinthesentence"/>
        </w:rPr>
        <w:t>‘evaluative material’</w:t>
      </w:r>
      <w:r>
        <w:t>, or in</w:t>
      </w:r>
      <w:r>
        <w:t xml:space="preserve">formation that would identify the supplier of that material, in breach of an express or implied </w:t>
      </w:r>
      <w:r w:rsidRPr="00693583">
        <w:t>promise</w:t>
      </w:r>
      <w:r>
        <w:t xml:space="preserve"> made to the supplier that this information would be held in </w:t>
      </w:r>
      <w:r w:rsidRPr="00693583">
        <w:t>confidence</w:t>
      </w:r>
      <w:r w:rsidRPr="004215F5">
        <w:t>.</w:t>
      </w:r>
    </w:p>
    <w:p w:rsidR="00FE3EF7" w:rsidRDefault="00D34195" w:rsidP="00FE3EF7">
      <w:pPr>
        <w:pStyle w:val="BodyText1"/>
      </w:pPr>
      <w:r>
        <w:t>In simple terms, evaluative material is information concerning what the supplier</w:t>
      </w:r>
      <w:r>
        <w:t xml:space="preserve"> thinks about the requester—their judgment or opinion as to whether the requester is eligible or qualified to receive an award of some sort. </w:t>
      </w:r>
    </w:p>
    <w:p w:rsidR="00FE3EF7" w:rsidRDefault="00D34195" w:rsidP="00FE3EF7">
      <w:pPr>
        <w:pStyle w:val="BodyText1"/>
      </w:pPr>
      <w:r>
        <w:t xml:space="preserve">Agencies need to be able to get this information in order to make good decisions about awarding contracts and </w:t>
      </w:r>
      <w:r>
        <w:t>other benefits. They may be unable to get such information if they cannot give and honour a promise of confidentiality to the person who supplies it.</w:t>
      </w:r>
    </w:p>
    <w:p w:rsidR="00FE3EF7" w:rsidRDefault="00D34195" w:rsidP="00FE3EF7">
      <w:pPr>
        <w:pStyle w:val="BodyText1"/>
        <w:keepNext/>
      </w:pPr>
      <w:r>
        <w:t>There are two issues to consider:</w:t>
      </w:r>
    </w:p>
    <w:p w:rsidR="00FE3EF7" w:rsidRDefault="00D34195" w:rsidP="00FE3EF7">
      <w:pPr>
        <w:pStyle w:val="Number1"/>
        <w:keepNext/>
        <w:numPr>
          <w:ilvl w:val="0"/>
          <w:numId w:val="30"/>
        </w:numPr>
      </w:pPr>
      <w:r>
        <w:t>Is the information evaluative material, or information that would identi</w:t>
      </w:r>
      <w:r>
        <w:t>fy the supplier of that material?</w:t>
      </w:r>
    </w:p>
    <w:p w:rsidR="00FE3EF7" w:rsidRDefault="00D34195" w:rsidP="00FE3EF7">
      <w:pPr>
        <w:pStyle w:val="Bullet1"/>
        <w:keepNext/>
        <w:numPr>
          <w:ilvl w:val="0"/>
          <w:numId w:val="0"/>
        </w:numPr>
      </w:pPr>
      <w:r w:rsidRPr="004A6C68">
        <w:rPr>
          <w:rStyle w:val="Quotationwithinthesentence"/>
        </w:rPr>
        <w:t>‘Evaluative material’</w:t>
      </w:r>
      <w:r>
        <w:t xml:space="preserve"> means evaluative or opinion material compiled solely for the purpose of:</w:t>
      </w:r>
      <w:r>
        <w:rPr>
          <w:rStyle w:val="FootnoteReference"/>
        </w:rPr>
        <w:footnoteReference w:id="30"/>
      </w:r>
    </w:p>
    <w:p w:rsidR="00FE3EF7" w:rsidRDefault="00D34195" w:rsidP="00FE3EF7">
      <w:pPr>
        <w:pStyle w:val="Bullet1"/>
      </w:pPr>
      <w:r>
        <w:t>determining the suitability, eligibility or qualifications of the requester for the awarding of contracts, awards or other ben</w:t>
      </w:r>
      <w:r>
        <w:t>efits;</w:t>
      </w:r>
    </w:p>
    <w:p w:rsidR="00FE3EF7" w:rsidRDefault="00D34195" w:rsidP="00FE3EF7">
      <w:pPr>
        <w:pStyle w:val="Bullet1"/>
      </w:pPr>
      <w:r>
        <w:t>determining whether any contract, award or benefit should be continued, modified or cancelled; or</w:t>
      </w:r>
    </w:p>
    <w:p w:rsidR="00FE3EF7" w:rsidRDefault="00D34195" w:rsidP="00FE3EF7">
      <w:pPr>
        <w:pStyle w:val="Bullet1"/>
      </w:pPr>
      <w:r>
        <w:t>deciding whether to insure any person or property or to continue or renew the insurance of any person or property.</w:t>
      </w:r>
    </w:p>
    <w:p w:rsidR="00FE3EF7" w:rsidRDefault="00D34195" w:rsidP="00FE3EF7">
      <w:pPr>
        <w:pStyle w:val="BodyText1"/>
      </w:pPr>
      <w:r>
        <w:t>It is the evaluative or opinion mate</w:t>
      </w:r>
      <w:r>
        <w:t xml:space="preserve">rial that is protected, not the </w:t>
      </w:r>
      <w:r w:rsidRPr="00097B83">
        <w:rPr>
          <w:rStyle w:val="Emphasis"/>
        </w:rPr>
        <w:t>facts</w:t>
      </w:r>
      <w:r>
        <w:t xml:space="preserve"> upon which the evaluation or opinion is based. In addition, this material must have been compiled for the </w:t>
      </w:r>
      <w:r w:rsidRPr="00FC6F60">
        <w:rPr>
          <w:rStyle w:val="Emphasis"/>
        </w:rPr>
        <w:t>sole</w:t>
      </w:r>
      <w:r>
        <w:t xml:space="preserve"> purpose of enabling the agency to make its decision. If it was compiled for another purpose, or for mixed p</w:t>
      </w:r>
      <w:r>
        <w:t xml:space="preserve">urposes, it cannot be withheld. </w:t>
      </w:r>
    </w:p>
    <w:p w:rsidR="00FE3EF7" w:rsidRPr="00A4542B" w:rsidRDefault="00D34195" w:rsidP="00E95DD3">
      <w:pPr>
        <w:pStyle w:val="Number1"/>
        <w:keepNext/>
        <w:rPr>
          <w:rStyle w:val="Emphasis"/>
          <w:b w:val="0"/>
          <w:bCs w:val="0"/>
          <w:iCs w:val="0"/>
        </w:rPr>
      </w:pPr>
      <w:r>
        <w:lastRenderedPageBreak/>
        <w:t xml:space="preserve">Would release breach an express or implied </w:t>
      </w:r>
      <w:r w:rsidRPr="00A4542B">
        <w:t>promise</w:t>
      </w:r>
      <w:r>
        <w:t xml:space="preserve"> that was made to the supplier that the material and/or their identity would be held in confidence</w:t>
      </w:r>
      <w:r>
        <w:rPr>
          <w:rStyle w:val="Emphasis"/>
          <w:b w:val="0"/>
        </w:rPr>
        <w:t>?</w:t>
      </w:r>
    </w:p>
    <w:p w:rsidR="00FE3EF7" w:rsidRDefault="00D34195" w:rsidP="00E95DD3">
      <w:pPr>
        <w:pStyle w:val="BodyText1"/>
        <w:keepNext/>
      </w:pPr>
      <w:r>
        <w:t>A promise must have been made to the supplier prior to or at the time the material was supplied that it and/or the identity of the supplier would be kept confidential. It must be evident that the supplier relied on this promise of confidentiality. These th</w:t>
      </w:r>
      <w:r>
        <w:t>ings are easier to establish when the promise of confidentiality was expressly recorded. However, they may also be implied from the circumstances where it is clear that the supplier must have expected confidentiality, and would not otherwise have been indu</w:t>
      </w:r>
      <w:r>
        <w:t xml:space="preserve">ced to supply the information. </w:t>
      </w:r>
      <w:bookmarkStart w:id="34" w:name="how"/>
      <w:bookmarkStart w:id="35" w:name="promised"/>
      <w:bookmarkEnd w:id="34"/>
      <w:bookmarkEnd w:id="35"/>
    </w:p>
    <w:tbl>
      <w:tblPr>
        <w:tblStyle w:val="TableBox"/>
        <w:tblW w:w="9297" w:type="dxa"/>
        <w:tblInd w:w="283" w:type="dxa"/>
        <w:tblLayout w:type="fixed"/>
        <w:tblLook w:val="04A0" w:firstRow="1" w:lastRow="0" w:firstColumn="1" w:lastColumn="0" w:noHBand="0" w:noVBand="1"/>
      </w:tblPr>
      <w:tblGrid>
        <w:gridCol w:w="9297"/>
      </w:tblGrid>
      <w:tr w:rsidR="00B22E86" w:rsidTr="00883D79">
        <w:tc>
          <w:tcPr>
            <w:tcW w:w="9297" w:type="dxa"/>
          </w:tcPr>
          <w:p w:rsidR="00FE3EF7" w:rsidRPr="007D5753" w:rsidRDefault="00D34195" w:rsidP="00883D79">
            <w:pPr>
              <w:pStyle w:val="Headingboxtexttop"/>
            </w:pPr>
            <w:r>
              <w:t>Case study 310785</w:t>
            </w:r>
            <w:r>
              <w:t xml:space="preserve"> (2011)</w:t>
            </w:r>
            <w:r>
              <w:t>—Reference checks</w:t>
            </w:r>
          </w:p>
          <w:p w:rsidR="00FE3EF7" w:rsidRDefault="00D34195" w:rsidP="00883D79">
            <w:pPr>
              <w:pStyle w:val="BodyText1"/>
            </w:pPr>
            <w:r w:rsidRPr="00266840">
              <w:t xml:space="preserve">A company made a request for information relating to how its tender responses were evaluated. The </w:t>
            </w:r>
            <w:r>
              <w:t>agency</w:t>
            </w:r>
            <w:r w:rsidRPr="00266840">
              <w:t xml:space="preserve"> refused the request on grounds that it was evaluative material and release wo</w:t>
            </w:r>
            <w:r w:rsidRPr="00266840">
              <w:t>uld brea</w:t>
            </w:r>
            <w:r>
              <w:t>ch a promise of confidentiality</w:t>
            </w:r>
            <w:r w:rsidRPr="00266840">
              <w:t>. The information at issue comprised records of comments about the performance of the company, provided to the Council by referees. This information was compiled by the Council solely for the purpose of determining wh</w:t>
            </w:r>
            <w:r w:rsidRPr="00266840">
              <w:t>ether particular contracts should be awarded to the company. The Ombudsman accepted that the nature of the information and the circumstances in which it was obtained by the Council gave rise to an implied promise that the information and the identity of th</w:t>
            </w:r>
            <w:r w:rsidRPr="00266840">
              <w:t>e supplier would be held in confidence.</w:t>
            </w:r>
          </w:p>
        </w:tc>
      </w:tr>
    </w:tbl>
    <w:p w:rsidR="00FE3EF7" w:rsidRDefault="00D34195" w:rsidP="00FE3EF7">
      <w:pPr>
        <w:pStyle w:val="Heading2"/>
        <w:spacing w:before="240"/>
      </w:pPr>
      <w:bookmarkStart w:id="36" w:name="_Toc442781427"/>
      <w:bookmarkStart w:id="37" w:name="_Toc16260699"/>
      <w:r>
        <w:t>Administrative issues</w:t>
      </w:r>
      <w:bookmarkEnd w:id="36"/>
      <w:bookmarkEnd w:id="37"/>
    </w:p>
    <w:p w:rsidR="00FE3EF7" w:rsidRDefault="00D34195" w:rsidP="00FE3EF7">
      <w:pPr>
        <w:pStyle w:val="BodyText1"/>
      </w:pPr>
      <w:r>
        <w:t>Part 4 does not incorporate the administrative reasons for refusing ordinary Part 2 requests that are found in section 18 of the OIA or section 17 of the LGOIMA. Nor is there any requirement fo</w:t>
      </w:r>
      <w:r>
        <w:t>r the requester to specify the information with due particularity, as they must when seeking information under Part 2.</w:t>
      </w:r>
      <w:r>
        <w:rPr>
          <w:rStyle w:val="FootnoteReference"/>
        </w:rPr>
        <w:footnoteReference w:id="31"/>
      </w:r>
    </w:p>
    <w:p w:rsidR="00FE3EF7" w:rsidRDefault="00D34195" w:rsidP="00FE3EF7">
      <w:pPr>
        <w:pStyle w:val="BodyText1"/>
      </w:pPr>
      <w:r>
        <w:t xml:space="preserve">However, the right of access is to information which is </w:t>
      </w:r>
      <w:r w:rsidRPr="000E6CC0">
        <w:rPr>
          <w:rStyle w:val="Quotationwithinthesentence"/>
        </w:rPr>
        <w:t>‘</w:t>
      </w:r>
      <w:r>
        <w:rPr>
          <w:rStyle w:val="Quotationwithinthesentence"/>
        </w:rPr>
        <w:t xml:space="preserve">held in such a way that it can be </w:t>
      </w:r>
      <w:r w:rsidRPr="00F97271">
        <w:rPr>
          <w:rStyle w:val="Emphasis"/>
        </w:rPr>
        <w:t>readily retrieved</w:t>
      </w:r>
      <w:r w:rsidRPr="000E6CC0">
        <w:rPr>
          <w:rStyle w:val="Quotationwithinthesentence"/>
        </w:rPr>
        <w:t>’</w:t>
      </w:r>
      <w:r>
        <w:t>.</w:t>
      </w:r>
      <w:r>
        <w:rPr>
          <w:rStyle w:val="FootnoteReference"/>
        </w:rPr>
        <w:footnoteReference w:id="32"/>
      </w:r>
      <w:r>
        <w:t xml:space="preserve"> The converse of this is </w:t>
      </w:r>
      <w:r>
        <w:t xml:space="preserve">that there will be no right of access to information which is not held in such a way that it can be readily retrieved. </w:t>
      </w:r>
    </w:p>
    <w:p w:rsidR="00FE3EF7" w:rsidRDefault="00D34195" w:rsidP="00FE3EF7">
      <w:pPr>
        <w:pStyle w:val="BodyText1"/>
      </w:pPr>
      <w:r>
        <w:t>In addition, if the volume of information requested is problematic, agencies can consider:</w:t>
      </w:r>
    </w:p>
    <w:p w:rsidR="00FE3EF7" w:rsidRDefault="00D34195" w:rsidP="00FE3EF7">
      <w:pPr>
        <w:pStyle w:val="Bullet1"/>
      </w:pPr>
      <w:r>
        <w:t>extending the maximum time limit available to</w:t>
      </w:r>
      <w:r>
        <w:t xml:space="preserve"> make a decision on the request;</w:t>
      </w:r>
      <w:r>
        <w:rPr>
          <w:rStyle w:val="FootnoteReference"/>
        </w:rPr>
        <w:footnoteReference w:id="33"/>
      </w:r>
    </w:p>
    <w:p w:rsidR="00FE3EF7" w:rsidRDefault="00D34195" w:rsidP="00FE3EF7">
      <w:pPr>
        <w:pStyle w:val="Bullet1"/>
      </w:pPr>
      <w:r>
        <w:t>imposing a reasonable charge for supply of the information;</w:t>
      </w:r>
      <w:r>
        <w:rPr>
          <w:rStyle w:val="FootnoteReference"/>
        </w:rPr>
        <w:footnoteReference w:id="34"/>
      </w:r>
    </w:p>
    <w:p w:rsidR="00FE3EF7" w:rsidRDefault="00D34195" w:rsidP="00FE3EF7">
      <w:pPr>
        <w:pStyle w:val="Bullet1"/>
      </w:pPr>
      <w:r>
        <w:lastRenderedPageBreak/>
        <w:t>making the information available in an alternative form (for instance, allowing inspection rather than providing copies) on the basis that meeting the requester’</w:t>
      </w:r>
      <w:r>
        <w:t xml:space="preserve">s preference in this regard would </w:t>
      </w:r>
      <w:r w:rsidRPr="00991B70">
        <w:rPr>
          <w:rStyle w:val="Quotationwithinthesentence"/>
        </w:rPr>
        <w:t>‘impair efficient administration’</w:t>
      </w:r>
      <w:r>
        <w:t>.</w:t>
      </w:r>
      <w:r>
        <w:rPr>
          <w:rStyle w:val="FootnoteReference"/>
        </w:rPr>
        <w:footnoteReference w:id="35"/>
      </w:r>
    </w:p>
    <w:tbl>
      <w:tblPr>
        <w:tblStyle w:val="TableBox"/>
        <w:tblW w:w="9297" w:type="dxa"/>
        <w:tblInd w:w="283" w:type="dxa"/>
        <w:tblLayout w:type="fixed"/>
        <w:tblLook w:val="04A0" w:firstRow="1" w:lastRow="0" w:firstColumn="1" w:lastColumn="0" w:noHBand="0" w:noVBand="1"/>
      </w:tblPr>
      <w:tblGrid>
        <w:gridCol w:w="9297"/>
      </w:tblGrid>
      <w:tr w:rsidR="00B22E86" w:rsidTr="00883D79">
        <w:tc>
          <w:tcPr>
            <w:tcW w:w="9297" w:type="dxa"/>
          </w:tcPr>
          <w:p w:rsidR="00FE3EF7" w:rsidRPr="007D5753" w:rsidRDefault="00D34195" w:rsidP="00883D79">
            <w:pPr>
              <w:pStyle w:val="Headingboxtexttop"/>
            </w:pPr>
            <w:r>
              <w:t>Information not held</w:t>
            </w:r>
          </w:p>
          <w:p w:rsidR="00FE3EF7" w:rsidRDefault="00D34195" w:rsidP="00883D79">
            <w:pPr>
              <w:pStyle w:val="Boxsmalltext"/>
            </w:pPr>
            <w:r>
              <w:t xml:space="preserve">What if the information isn’t held or the document doesn’t exist or can’t be found? In the case of a Part 2 request, there are specific grounds for refusal on this </w:t>
            </w:r>
            <w:r>
              <w:t>basis (sections 18(e) and (g) OIA and sections 17(e) and (g) LGOIMA). Those same grounds don’t exist in relation to a Part 4 request. Nevertheless, if the information isn’t held, doesn’t exist, or can’t be found, the request cannot be granted. The answer i</w:t>
            </w:r>
            <w:r>
              <w:t>n this situation is that the request is not one for information which is</w:t>
            </w:r>
            <w:r w:rsidRPr="00AF3B31">
              <w:t xml:space="preserve"> held in such a way that it can be readily retrieved, and therefore Part 4 cannot apply.</w:t>
            </w:r>
          </w:p>
        </w:tc>
      </w:tr>
    </w:tbl>
    <w:p w:rsidR="00FE3EF7" w:rsidRDefault="00D34195" w:rsidP="00FE3EF7">
      <w:pPr>
        <w:pStyle w:val="Heading1"/>
      </w:pPr>
      <w:bookmarkStart w:id="38" w:name="_Toc442781428"/>
      <w:bookmarkStart w:id="39" w:name="_Toc16260700"/>
      <w:r>
        <w:t>What if a requester is unhappy with the decision made on their Part 4 request?</w:t>
      </w:r>
      <w:bookmarkEnd w:id="38"/>
      <w:bookmarkEnd w:id="39"/>
    </w:p>
    <w:p w:rsidR="00FE3EF7" w:rsidRDefault="00D34195" w:rsidP="00FE3EF7">
      <w:pPr>
        <w:pStyle w:val="BodyText1"/>
      </w:pPr>
      <w:r>
        <w:t xml:space="preserve">As with any other request for official information, if a requester is unhappy with the decision on their Part 4 request they can complain to the Ombudsman. </w:t>
      </w:r>
    </w:p>
    <w:p w:rsidR="00FE3EF7" w:rsidRDefault="00D34195" w:rsidP="00FE3EF7">
      <w:pPr>
        <w:pStyle w:val="BodyText1"/>
      </w:pPr>
      <w:r>
        <w:t xml:space="preserve">However, Part 4 investigations are slightly different in that they are required to be </w:t>
      </w:r>
      <w:r>
        <w:t>undertaken</w:t>
      </w:r>
      <w:r>
        <w:t xml:space="preserve"> by</w:t>
      </w:r>
      <w:r>
        <w:t xml:space="preserve"> the Ombudsman under the Ombudsmen Act 1975, rather than the OIA or LGOIMA.</w:t>
      </w:r>
      <w:r>
        <w:rPr>
          <w:rStyle w:val="FootnoteReference"/>
        </w:rPr>
        <w:footnoteReference w:id="36"/>
      </w:r>
      <w:r>
        <w:t xml:space="preserve"> This means any recommendations by the Ombudsman will not be binding.</w:t>
      </w:r>
      <w:r>
        <w:rPr>
          <w:rStyle w:val="FootnoteReference"/>
        </w:rPr>
        <w:footnoteReference w:id="37"/>
      </w:r>
      <w:r>
        <w:t xml:space="preserve">  </w:t>
      </w:r>
    </w:p>
    <w:p w:rsidR="00FE3EF7" w:rsidRDefault="00D34195" w:rsidP="00FE3EF7">
      <w:pPr>
        <w:pStyle w:val="BodyText1"/>
      </w:pPr>
      <w:r>
        <w:t>In addition to complaining to the Ombudsman, a dissatisfied requester has a concurrent right of appeal to t</w:t>
      </w:r>
      <w:r>
        <w:t>he courts. This is also distinct from ordinary OIA and LGOIMA complaints relating to Part 2 decisions, which must be determined by the Ombudsman in the first instance.</w:t>
      </w:r>
      <w:r>
        <w:rPr>
          <w:rStyle w:val="FootnoteReference"/>
        </w:rPr>
        <w:footnoteReference w:id="38"/>
      </w:r>
      <w:r>
        <w:t xml:space="preserve"> </w:t>
      </w:r>
    </w:p>
    <w:p w:rsidR="00FE3EF7" w:rsidRPr="00E12200" w:rsidRDefault="00D34195" w:rsidP="00FE3EF7">
      <w:pPr>
        <w:pStyle w:val="Heading1"/>
      </w:pPr>
      <w:bookmarkStart w:id="40" w:name="_Toc437862592"/>
      <w:bookmarkStart w:id="41" w:name="_Toc438210421"/>
      <w:bookmarkStart w:id="42" w:name="_Toc442781429"/>
      <w:bookmarkStart w:id="43" w:name="_Toc16260701"/>
      <w:r>
        <w:t>Further guidance</w:t>
      </w:r>
      <w:bookmarkEnd w:id="40"/>
      <w:bookmarkEnd w:id="41"/>
      <w:bookmarkEnd w:id="42"/>
      <w:bookmarkEnd w:id="43"/>
    </w:p>
    <w:p w:rsidR="00FE3EF7" w:rsidRDefault="00D34195" w:rsidP="00FE3EF7">
      <w:pPr>
        <w:pStyle w:val="BodyText1"/>
      </w:pPr>
      <w:hyperlink r:id="rId19" w:history="1">
        <w:r w:rsidRPr="00B06E54">
          <w:rPr>
            <w:rStyle w:val="Hyperlink"/>
          </w:rPr>
          <w:t>The OIA for Ministers and agencies</w:t>
        </w:r>
      </w:hyperlink>
      <w:r>
        <w:t xml:space="preserve"> and </w:t>
      </w:r>
      <w:hyperlink r:id="rId20" w:history="1">
        <w:r w:rsidRPr="00B06E54">
          <w:rPr>
            <w:rStyle w:val="Hyperlink"/>
          </w:rPr>
          <w:t>The LGOIMA for local government agenc</w:t>
        </w:r>
        <w:r w:rsidRPr="00B06E54">
          <w:rPr>
            <w:rStyle w:val="Hyperlink"/>
          </w:rPr>
          <w:t>ies</w:t>
        </w:r>
      </w:hyperlink>
      <w:r w:rsidRPr="0083207D">
        <w:t xml:space="preserve"> provide </w:t>
      </w:r>
      <w:r>
        <w:t>more information about processing OIA and LGOIMA requests.</w:t>
      </w:r>
    </w:p>
    <w:p w:rsidR="00FE3EF7" w:rsidRPr="00C4692B" w:rsidRDefault="00D34195" w:rsidP="00FE3EF7">
      <w:pPr>
        <w:pStyle w:val="BodyText1"/>
      </w:pPr>
      <w:r>
        <w:lastRenderedPageBreak/>
        <w:t>Further guidance on the reasons f</w:t>
      </w:r>
      <w:bookmarkStart w:id="44" w:name="_GoBack"/>
      <w:bookmarkEnd w:id="44"/>
      <w:r>
        <w:t>or refusal is available</w:t>
      </w:r>
      <w:r w:rsidRPr="00C4692B">
        <w:t xml:space="preserve"> </w:t>
      </w:r>
      <w:hyperlink r:id="rId21" w:history="1">
        <w:r w:rsidRPr="00A014B6">
          <w:rPr>
            <w:rStyle w:val="HyperlinkSourceTextReference"/>
          </w:rPr>
          <w:t>her</w:t>
        </w:r>
        <w:r w:rsidRPr="00A014B6">
          <w:rPr>
            <w:rStyle w:val="HyperlinkSourceTextReference"/>
          </w:rPr>
          <w:t>e</w:t>
        </w:r>
      </w:hyperlink>
      <w:r w:rsidRPr="00C4692B">
        <w:t>.</w:t>
      </w:r>
    </w:p>
    <w:p w:rsidR="00FE3EF7" w:rsidRDefault="00D34195" w:rsidP="00FE3EF7">
      <w:pPr>
        <w:pStyle w:val="BodyText1"/>
      </w:pPr>
      <w:r w:rsidRPr="00C4692B">
        <w:t>Our website contains searchable case notes, opinions and other material, relating to past cas</w:t>
      </w:r>
      <w:r>
        <w:t>es considered by the Ombudsmen</w:t>
      </w:r>
      <w:r w:rsidRPr="00C4692B">
        <w:t xml:space="preserve">: </w:t>
      </w:r>
      <w:hyperlink r:id="rId22" w:history="1">
        <w:r w:rsidRPr="00A014B6">
          <w:rPr>
            <w:rStyle w:val="HyperlinkSourceTextReference"/>
          </w:rPr>
          <w:t>www.ombudsman.parliament.nz</w:t>
        </w:r>
      </w:hyperlink>
      <w:r w:rsidRPr="00C4692B">
        <w:t>.</w:t>
      </w:r>
    </w:p>
    <w:p w:rsidR="0009229B" w:rsidRDefault="00D34195" w:rsidP="0009229B">
      <w:pPr>
        <w:pStyle w:val="BodyText1"/>
      </w:pPr>
      <w:r>
        <w:t>You can also contact our staff with any queri</w:t>
      </w:r>
      <w:r>
        <w:t xml:space="preserve">es about Part 4 requests by email </w:t>
      </w:r>
      <w:hyperlink r:id="rId23" w:history="1">
        <w:r w:rsidRPr="00A014B6">
          <w:rPr>
            <w:rStyle w:val="HyperlinkSourceTextReference"/>
          </w:rPr>
          <w:t>info@ombudsman.parliament.nz</w:t>
        </w:r>
      </w:hyperlink>
      <w:r w:rsidRPr="00C4692B">
        <w:t xml:space="preserve"> or </w:t>
      </w:r>
      <w:proofErr w:type="spellStart"/>
      <w:r w:rsidRPr="00C4692B">
        <w:t>freephone</w:t>
      </w:r>
      <w:proofErr w:type="spellEnd"/>
      <w:r w:rsidRPr="00C4692B">
        <w:t xml:space="preserve"> 0800 802 602. </w:t>
      </w:r>
      <w:r>
        <w:t>Do so as early as possible to ensure we can answer your queries without delaying the response to a request for off</w:t>
      </w:r>
      <w:r>
        <w:t>icial information.</w:t>
      </w:r>
    </w:p>
    <w:p w:rsidR="00FE3EF7" w:rsidRDefault="00D34195" w:rsidP="00FE3EF7">
      <w:pPr>
        <w:pStyle w:val="BodyText1"/>
      </w:pPr>
    </w:p>
    <w:sectPr w:rsidR="00FE3EF7" w:rsidSect="00FA5B4B">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34195">
      <w:pPr>
        <w:spacing w:after="0" w:line="240" w:lineRule="auto"/>
      </w:pPr>
      <w:r>
        <w:separator/>
      </w:r>
    </w:p>
  </w:endnote>
  <w:endnote w:type="continuationSeparator" w:id="0">
    <w:p w:rsidR="00000000" w:rsidRDefault="00D3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B0" w:rsidRDefault="00D34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4B" w:rsidRPr="0059155D" w:rsidRDefault="00D34195" w:rsidP="00B81F45">
    <w:pPr>
      <w:pStyle w:val="Footerline"/>
    </w:pPr>
  </w:p>
  <w:p w:rsidR="00FA5B4B" w:rsidRPr="0059155D" w:rsidRDefault="00D34195" w:rsidP="00B81F45">
    <w:pPr>
      <w:pStyle w:val="Footerline"/>
    </w:pPr>
  </w:p>
  <w:p w:rsidR="00FA5B4B" w:rsidRPr="005533D8" w:rsidRDefault="00D34195" w:rsidP="00B81F45">
    <w:pPr>
      <w:pStyle w:val="Footer"/>
    </w:pPr>
    <w:r>
      <w:fldChar w:fldCharType="begin"/>
    </w:r>
    <w:r>
      <w:instrText xml:space="preserve"> DOCVARIABLE  dvShortText </w:instrText>
    </w:r>
    <w:r>
      <w:fldChar w:fldCharType="separate"/>
    </w:r>
    <w:r>
      <w:t>Guide: Requests by corporate entities for their personal information August 2019 |</w:t>
    </w:r>
    <w:r>
      <w:fldChar w:fldCharType="end"/>
    </w:r>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Pr>
        <w:rStyle w:val="PageNumber"/>
        <w:noProof/>
      </w:rPr>
      <w:t>14</w:t>
    </w:r>
    <w:r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4B" w:rsidRPr="0059155D" w:rsidRDefault="00D34195" w:rsidP="00AA3322">
    <w:pPr>
      <w:pStyle w:val="Footerline"/>
    </w:pPr>
  </w:p>
  <w:p w:rsidR="00FA5B4B" w:rsidRPr="0059155D" w:rsidRDefault="00D34195" w:rsidP="00AA3322">
    <w:pPr>
      <w:pStyle w:val="Footerline"/>
    </w:pPr>
  </w:p>
  <w:p w:rsidR="00FA5B4B" w:rsidRPr="005533D8" w:rsidRDefault="00D34195" w:rsidP="00AA3322">
    <w:pPr>
      <w:pStyle w:val="Footer"/>
    </w:pPr>
    <w:r>
      <w:fldChar w:fldCharType="begin"/>
    </w:r>
    <w:r>
      <w:instrText xml:space="preserve"> DOCVARIABLE  dvShortText </w:instrText>
    </w:r>
    <w:r>
      <w:fldChar w:fldCharType="separate"/>
    </w:r>
    <w:r>
      <w:t>Guide: Requests by corporate entities for their personal information August 2019 |</w:t>
    </w:r>
    <w:r>
      <w:fldChar w:fldCharType="end"/>
    </w:r>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Pr>
        <w:rStyle w:val="PageNumber"/>
        <w:noProof/>
      </w:rPr>
      <w:t>1</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CA4" w:rsidRPr="00D45126" w:rsidRDefault="00D34195" w:rsidP="00257DA0">
      <w:pPr>
        <w:spacing w:after="0" w:line="240" w:lineRule="auto"/>
        <w:rPr>
          <w:color w:val="4D4D4D"/>
        </w:rPr>
      </w:pPr>
      <w:r w:rsidRPr="00D45126">
        <w:rPr>
          <w:color w:val="4D4D4D"/>
        </w:rPr>
        <w:separator/>
      </w:r>
    </w:p>
  </w:footnote>
  <w:footnote w:type="continuationSeparator" w:id="0">
    <w:p w:rsidR="00332CA4" w:rsidRPr="00C14083" w:rsidRDefault="00D34195" w:rsidP="00554FCD">
      <w:pPr>
        <w:spacing w:after="0" w:line="240" w:lineRule="auto"/>
        <w:rPr>
          <w:color w:val="4D4D4D"/>
        </w:rPr>
      </w:pPr>
      <w:r w:rsidRPr="00C14083">
        <w:rPr>
          <w:color w:val="4D4D4D"/>
        </w:rPr>
        <w:continuationSeparator/>
      </w:r>
    </w:p>
  </w:footnote>
  <w:footnote w:type="continuationNotice" w:id="1">
    <w:p w:rsidR="00332CA4" w:rsidRDefault="00D34195">
      <w:pPr>
        <w:spacing w:after="0" w:line="240" w:lineRule="auto"/>
      </w:pPr>
    </w:p>
  </w:footnote>
  <w:footnote w:id="2">
    <w:p w:rsidR="00FE3EF7" w:rsidRDefault="00D34195" w:rsidP="00FE3EF7">
      <w:pPr>
        <w:pStyle w:val="FootnoteText"/>
      </w:pPr>
      <w:r>
        <w:rPr>
          <w:rStyle w:val="FootnoteReference"/>
        </w:rPr>
        <w:footnoteRef/>
      </w:r>
      <w:r>
        <w:t xml:space="preserve"> </w:t>
      </w:r>
      <w:r>
        <w:tab/>
        <w:t>See s 24(1) OIA and s 23(1) LGOIMA.</w:t>
      </w:r>
    </w:p>
  </w:footnote>
  <w:footnote w:id="3">
    <w:p w:rsidR="00FE3EF7" w:rsidRDefault="00D34195" w:rsidP="00FE3EF7">
      <w:pPr>
        <w:pStyle w:val="FootnoteText"/>
      </w:pPr>
      <w:r>
        <w:rPr>
          <w:rStyle w:val="FootnoteReference"/>
        </w:rPr>
        <w:footnoteRef/>
      </w:r>
      <w:r>
        <w:t xml:space="preserve"> </w:t>
      </w:r>
      <w:r>
        <w:tab/>
        <w:t>See s 22 OIA</w:t>
      </w:r>
      <w:r>
        <w:t xml:space="preserve"> and s 21 LGOIMA.</w:t>
      </w:r>
      <w:r w:rsidRPr="00B71E47">
        <w:t xml:space="preserve"> </w:t>
      </w:r>
      <w:r>
        <w:t xml:space="preserve">For more information see </w:t>
      </w:r>
      <w:hyperlink r:id="rId1" w:history="1">
        <w:r w:rsidRPr="00E93C8C">
          <w:rPr>
            <w:rStyle w:val="Hyperlink"/>
          </w:rPr>
          <w:t>Requests for internal decision making rules</w:t>
        </w:r>
      </w:hyperlink>
      <w:r>
        <w:t>.</w:t>
      </w:r>
    </w:p>
  </w:footnote>
  <w:footnote w:id="4">
    <w:p w:rsidR="00FE3EF7" w:rsidRDefault="00D34195" w:rsidP="00FE3EF7">
      <w:pPr>
        <w:pStyle w:val="FootnoteText"/>
      </w:pPr>
      <w:r>
        <w:rPr>
          <w:rStyle w:val="FootnoteReference"/>
        </w:rPr>
        <w:footnoteRef/>
      </w:r>
      <w:r>
        <w:t xml:space="preserve"> </w:t>
      </w:r>
      <w:r>
        <w:tab/>
        <w:t>See s 23 OIA and s 22 LGOIMA.</w:t>
      </w:r>
      <w:r>
        <w:t xml:space="preserve"> For more information see </w:t>
      </w:r>
      <w:hyperlink r:id="rId2" w:history="1">
        <w:r w:rsidRPr="00E93C8C">
          <w:rPr>
            <w:rStyle w:val="Hyperlink"/>
          </w:rPr>
          <w:t>Requests for reasons for a decision or recommendation</w:t>
        </w:r>
      </w:hyperlink>
      <w:r>
        <w:t>.</w:t>
      </w:r>
    </w:p>
  </w:footnote>
  <w:footnote w:id="5">
    <w:p w:rsidR="00FE3EF7" w:rsidRDefault="00D34195" w:rsidP="00FE3EF7">
      <w:pPr>
        <w:pStyle w:val="FootnoteText"/>
      </w:pPr>
      <w:r>
        <w:rPr>
          <w:rStyle w:val="FootnoteReference"/>
        </w:rPr>
        <w:footnoteRef/>
      </w:r>
      <w:r>
        <w:t xml:space="preserve"> </w:t>
      </w:r>
      <w:r>
        <w:tab/>
        <w:t>See s 24(2) OIA.</w:t>
      </w:r>
    </w:p>
  </w:footnote>
  <w:footnote w:id="6">
    <w:p w:rsidR="00FE3EF7" w:rsidRDefault="00D34195" w:rsidP="00FE3EF7">
      <w:pPr>
        <w:pStyle w:val="FootnoteText"/>
      </w:pPr>
      <w:r>
        <w:rPr>
          <w:rStyle w:val="FootnoteReference"/>
        </w:rPr>
        <w:footnoteRef/>
      </w:r>
      <w:r>
        <w:t xml:space="preserve"> </w:t>
      </w:r>
      <w:r>
        <w:tab/>
        <w:t xml:space="preserve">See s </w:t>
      </w:r>
      <w:r>
        <w:t>23(1A) LGOIMA.</w:t>
      </w:r>
    </w:p>
  </w:footnote>
  <w:footnote w:id="7">
    <w:p w:rsidR="00FE3EF7" w:rsidRDefault="00D34195" w:rsidP="00FE3EF7">
      <w:pPr>
        <w:pStyle w:val="FootnoteText"/>
      </w:pPr>
      <w:r>
        <w:rPr>
          <w:rStyle w:val="FootnoteReference"/>
        </w:rPr>
        <w:footnoteRef/>
      </w:r>
      <w:r>
        <w:t xml:space="preserve"> </w:t>
      </w:r>
      <w:r>
        <w:tab/>
        <w:t xml:space="preserve">Section 12(3) of the OIA is incorporated by s 24(3) of that Act; s 10(3) of the LGOIMA is incorporated by s 23(2) of that Act. For more information about responding to urgent requests, see </w:t>
      </w:r>
      <w:hyperlink r:id="rId3" w:history="1">
        <w:r w:rsidRPr="00B06E54">
          <w:rPr>
            <w:rStyle w:val="Hyperlink"/>
          </w:rPr>
          <w:t>Th</w:t>
        </w:r>
        <w:r w:rsidRPr="00B06E54">
          <w:rPr>
            <w:rStyle w:val="Hyperlink"/>
          </w:rPr>
          <w:t>e</w:t>
        </w:r>
        <w:r w:rsidRPr="00B06E54">
          <w:rPr>
            <w:rStyle w:val="Hyperlink"/>
          </w:rPr>
          <w:t xml:space="preserve"> OIA for Ministers and agencies</w:t>
        </w:r>
      </w:hyperlink>
      <w:r w:rsidRPr="00621A03">
        <w:t xml:space="preserve"> and </w:t>
      </w:r>
      <w:hyperlink r:id="rId4" w:history="1">
        <w:r w:rsidRPr="00B06E54">
          <w:rPr>
            <w:rStyle w:val="Hyperlink"/>
          </w:rPr>
          <w:t>The LGOIMA for lo</w:t>
        </w:r>
        <w:r w:rsidRPr="00B06E54">
          <w:rPr>
            <w:rStyle w:val="Hyperlink"/>
          </w:rPr>
          <w:t>cal government agencies</w:t>
        </w:r>
      </w:hyperlink>
      <w:r w:rsidRPr="00621A03">
        <w:t>.</w:t>
      </w:r>
    </w:p>
  </w:footnote>
  <w:footnote w:id="8">
    <w:p w:rsidR="00FE3EF7" w:rsidRDefault="00D34195" w:rsidP="00FE3EF7">
      <w:pPr>
        <w:pStyle w:val="FootnoteText"/>
      </w:pPr>
      <w:r>
        <w:rPr>
          <w:rStyle w:val="FootnoteReference"/>
        </w:rPr>
        <w:footnoteRef/>
      </w:r>
      <w:r>
        <w:t xml:space="preserve"> </w:t>
      </w:r>
      <w:r>
        <w:tab/>
        <w:t xml:space="preserve">Section 24(3) of the OIA provides that </w:t>
      </w:r>
      <w:proofErr w:type="spellStart"/>
      <w:r>
        <w:t>ss</w:t>
      </w:r>
      <w:proofErr w:type="spellEnd"/>
      <w:r>
        <w:t xml:space="preserve"> 12(3) (urgency), 13 (reasonable assistance), 14 (transfers), 15 (decisions), 15A (extensions), 16 (documents), 17 (deletion of information from documents) and 19 (reason for refusal t</w:t>
      </w:r>
      <w:r>
        <w:t xml:space="preserve">o be given) still apply. Section 23(2) of the LGOIMA provides that </w:t>
      </w:r>
      <w:proofErr w:type="spellStart"/>
      <w:r>
        <w:t>ss</w:t>
      </w:r>
      <w:proofErr w:type="spellEnd"/>
      <w:r>
        <w:t xml:space="preserve"> 10(3) (urgency), 11 (reasonable assistance), 12 (transfers), 13 (decisions), 14 (extensions), 15 (documents), 16 (deletion of information from documents) and 18 (reason for refusal to be</w:t>
      </w:r>
      <w:r>
        <w:t xml:space="preserve"> given) still apply.</w:t>
      </w:r>
    </w:p>
  </w:footnote>
  <w:footnote w:id="9">
    <w:p w:rsidR="00FE3EF7" w:rsidRDefault="00D34195" w:rsidP="00FE3EF7">
      <w:pPr>
        <w:pStyle w:val="FootnoteText"/>
      </w:pPr>
      <w:r>
        <w:rPr>
          <w:rStyle w:val="FootnoteReference"/>
        </w:rPr>
        <w:footnoteRef/>
      </w:r>
      <w:r>
        <w:t xml:space="preserve"> </w:t>
      </w:r>
      <w:r>
        <w:tab/>
        <w:t>Because s 15(1A) of the OIA applies by virtue of s 24(3), and s 13(1A) of the LGOIMA applies by virtue of s 23(2).</w:t>
      </w:r>
    </w:p>
  </w:footnote>
  <w:footnote w:id="10">
    <w:p w:rsidR="00FE3EF7" w:rsidRDefault="00D34195" w:rsidP="00FE3EF7">
      <w:pPr>
        <w:pStyle w:val="FootnoteText"/>
      </w:pPr>
      <w:r>
        <w:rPr>
          <w:rStyle w:val="FootnoteReference"/>
        </w:rPr>
        <w:footnoteRef/>
      </w:r>
      <w:r>
        <w:t xml:space="preserve"> </w:t>
      </w:r>
      <w:r>
        <w:tab/>
        <w:t xml:space="preserve">See </w:t>
      </w:r>
      <w:proofErr w:type="spellStart"/>
      <w:r>
        <w:t>ss</w:t>
      </w:r>
      <w:proofErr w:type="spellEnd"/>
      <w:r>
        <w:t xml:space="preserve"> 35 and 36 Privacy Act.</w:t>
      </w:r>
    </w:p>
  </w:footnote>
  <w:footnote w:id="11">
    <w:p w:rsidR="00FE3EF7" w:rsidRDefault="00D34195" w:rsidP="00FE3EF7">
      <w:pPr>
        <w:pStyle w:val="FootnoteText"/>
      </w:pPr>
      <w:r>
        <w:rPr>
          <w:rStyle w:val="FootnoteReference"/>
        </w:rPr>
        <w:footnoteRef/>
      </w:r>
      <w:r>
        <w:t xml:space="preserve"> </w:t>
      </w:r>
      <w:r>
        <w:tab/>
        <w:t>See s 24(3A) OIA and s 23(3) LGOIMA.</w:t>
      </w:r>
    </w:p>
  </w:footnote>
  <w:footnote w:id="12">
    <w:p w:rsidR="00FE3EF7" w:rsidRDefault="00D34195" w:rsidP="00FE3EF7">
      <w:pPr>
        <w:pStyle w:val="FootnoteText"/>
      </w:pPr>
      <w:r>
        <w:rPr>
          <w:rStyle w:val="FootnoteReference"/>
        </w:rPr>
        <w:footnoteRef/>
      </w:r>
      <w:r>
        <w:t xml:space="preserve"> </w:t>
      </w:r>
      <w:r>
        <w:tab/>
        <w:t>See s 25 OIA and s 24 LGOIMA.</w:t>
      </w:r>
    </w:p>
  </w:footnote>
  <w:footnote w:id="13">
    <w:p w:rsidR="00FE3EF7" w:rsidRDefault="00D34195" w:rsidP="00FE3EF7">
      <w:pPr>
        <w:pStyle w:val="FootnoteText"/>
      </w:pPr>
      <w:r>
        <w:rPr>
          <w:rStyle w:val="FootnoteReference"/>
        </w:rPr>
        <w:footnoteRef/>
      </w:r>
      <w:r>
        <w:t xml:space="preserve"> </w:t>
      </w:r>
      <w:r>
        <w:tab/>
        <w:t>See s 26</w:t>
      </w:r>
      <w:r>
        <w:t>(1)(a) OIA and s 25(1)(a) LGOIMA.</w:t>
      </w:r>
    </w:p>
  </w:footnote>
  <w:footnote w:id="14">
    <w:p w:rsidR="00FE3EF7" w:rsidRDefault="00D34195" w:rsidP="00FE3EF7">
      <w:pPr>
        <w:pStyle w:val="FootnoteText"/>
      </w:pPr>
      <w:r>
        <w:rPr>
          <w:rStyle w:val="FootnoteReference"/>
        </w:rPr>
        <w:footnoteRef/>
      </w:r>
      <w:r>
        <w:t xml:space="preserve"> </w:t>
      </w:r>
      <w:r>
        <w:tab/>
        <w:t>See s 26(2) OIA and s 25(2) LGOIMA.</w:t>
      </w:r>
    </w:p>
  </w:footnote>
  <w:footnote w:id="15">
    <w:p w:rsidR="00FE3EF7" w:rsidRDefault="00D34195" w:rsidP="00FE3EF7">
      <w:pPr>
        <w:pStyle w:val="FootnoteText"/>
      </w:pPr>
      <w:r>
        <w:rPr>
          <w:rStyle w:val="FootnoteReference"/>
        </w:rPr>
        <w:footnoteRef/>
      </w:r>
      <w:r>
        <w:t xml:space="preserve"> </w:t>
      </w:r>
      <w:r>
        <w:tab/>
        <w:t>See s 26(1)(b) OIA and s 25(1)(b) LGOIMA.</w:t>
      </w:r>
    </w:p>
  </w:footnote>
  <w:footnote w:id="16">
    <w:p w:rsidR="00FE3EF7" w:rsidRDefault="00D34195" w:rsidP="00FE3EF7">
      <w:pPr>
        <w:pStyle w:val="FootnoteText"/>
      </w:pPr>
      <w:r>
        <w:rPr>
          <w:rStyle w:val="FootnoteReference"/>
        </w:rPr>
        <w:footnoteRef/>
      </w:r>
      <w:r>
        <w:t xml:space="preserve"> </w:t>
      </w:r>
      <w:r>
        <w:tab/>
        <w:t>See s 27(1)(a) OIA and s 26(1)(a) LGOIMA.</w:t>
      </w:r>
    </w:p>
  </w:footnote>
  <w:footnote w:id="17">
    <w:p w:rsidR="00FE3EF7" w:rsidRDefault="00D34195" w:rsidP="00FE3EF7">
      <w:pPr>
        <w:pStyle w:val="FootnoteText"/>
      </w:pPr>
      <w:r>
        <w:rPr>
          <w:rStyle w:val="FootnoteReference"/>
        </w:rPr>
        <w:footnoteRef/>
      </w:r>
      <w:r>
        <w:t xml:space="preserve"> </w:t>
      </w:r>
      <w:r>
        <w:tab/>
        <w:t>See s 6(a) OIA.</w:t>
      </w:r>
    </w:p>
  </w:footnote>
  <w:footnote w:id="18">
    <w:p w:rsidR="00FE3EF7" w:rsidRDefault="00D34195" w:rsidP="00FE3EF7">
      <w:pPr>
        <w:pStyle w:val="FootnoteText"/>
      </w:pPr>
      <w:r>
        <w:rPr>
          <w:rStyle w:val="FootnoteReference"/>
        </w:rPr>
        <w:footnoteRef/>
      </w:r>
      <w:r>
        <w:t xml:space="preserve"> </w:t>
      </w:r>
      <w:r>
        <w:tab/>
        <w:t>See s 6(b) OIA.</w:t>
      </w:r>
    </w:p>
  </w:footnote>
  <w:footnote w:id="19">
    <w:p w:rsidR="00FE3EF7" w:rsidRDefault="00D34195" w:rsidP="00FE3EF7">
      <w:pPr>
        <w:pStyle w:val="FootnoteText"/>
      </w:pPr>
      <w:r>
        <w:rPr>
          <w:rStyle w:val="FootnoteReference"/>
        </w:rPr>
        <w:footnoteRef/>
      </w:r>
      <w:r>
        <w:t xml:space="preserve"> </w:t>
      </w:r>
      <w:r>
        <w:tab/>
        <w:t>See s 6(c) OIA and s 6(a) LGOIMA.</w:t>
      </w:r>
    </w:p>
  </w:footnote>
  <w:footnote w:id="20">
    <w:p w:rsidR="00FE3EF7" w:rsidRDefault="00D34195" w:rsidP="00FE3EF7">
      <w:pPr>
        <w:pStyle w:val="FootnoteText"/>
      </w:pPr>
      <w:r>
        <w:rPr>
          <w:rStyle w:val="FootnoteReference"/>
        </w:rPr>
        <w:footnoteRef/>
      </w:r>
      <w:r>
        <w:t xml:space="preserve"> </w:t>
      </w:r>
      <w:r>
        <w:tab/>
        <w:t xml:space="preserve">See s 6(d) OIA </w:t>
      </w:r>
      <w:r>
        <w:t>and s 6(b) LGOIMA.</w:t>
      </w:r>
    </w:p>
  </w:footnote>
  <w:footnote w:id="21">
    <w:p w:rsidR="00FE3EF7" w:rsidRDefault="00D34195" w:rsidP="00FE3EF7">
      <w:pPr>
        <w:pStyle w:val="FootnoteText"/>
      </w:pPr>
      <w:r>
        <w:rPr>
          <w:rStyle w:val="FootnoteReference"/>
        </w:rPr>
        <w:footnoteRef/>
      </w:r>
      <w:r>
        <w:t xml:space="preserve"> </w:t>
      </w:r>
      <w:r>
        <w:tab/>
        <w:t>See s 9(2)(b) OIA and s 7(2)(b) LGOIMA.</w:t>
      </w:r>
    </w:p>
  </w:footnote>
  <w:footnote w:id="22">
    <w:p w:rsidR="00FE3EF7" w:rsidRDefault="00D34195" w:rsidP="00FE3EF7">
      <w:pPr>
        <w:pStyle w:val="FootnoteText"/>
      </w:pPr>
      <w:r>
        <w:rPr>
          <w:rStyle w:val="FootnoteReference"/>
        </w:rPr>
        <w:footnoteRef/>
      </w:r>
      <w:r>
        <w:t xml:space="preserve"> </w:t>
      </w:r>
      <w:r>
        <w:tab/>
        <w:t>See s 24(1) OIA and s 23(1) LGOIMA.</w:t>
      </w:r>
    </w:p>
  </w:footnote>
  <w:footnote w:id="23">
    <w:p w:rsidR="00FE3EF7" w:rsidRDefault="00D34195" w:rsidP="00FE3EF7">
      <w:pPr>
        <w:pStyle w:val="FootnoteText"/>
      </w:pPr>
      <w:r>
        <w:rPr>
          <w:rStyle w:val="FootnoteReference"/>
        </w:rPr>
        <w:footnoteRef/>
      </w:r>
      <w:r>
        <w:t xml:space="preserve"> </w:t>
      </w:r>
      <w:r>
        <w:tab/>
        <w:t>See s 27(1)(b) OIA and s 26(1)(b) LGOIMA.</w:t>
      </w:r>
    </w:p>
  </w:footnote>
  <w:footnote w:id="24">
    <w:p w:rsidR="00FE3EF7" w:rsidRDefault="00D34195" w:rsidP="00FE3EF7">
      <w:pPr>
        <w:pStyle w:val="FootnoteText"/>
      </w:pPr>
      <w:r>
        <w:rPr>
          <w:rStyle w:val="FootnoteReference"/>
        </w:rPr>
        <w:footnoteRef/>
      </w:r>
      <w:r>
        <w:t xml:space="preserve"> </w:t>
      </w:r>
      <w:r>
        <w:tab/>
        <w:t>See s 27(1)(c) OIA and s 26(1)(c) LGOIMA.</w:t>
      </w:r>
    </w:p>
  </w:footnote>
  <w:footnote w:id="25">
    <w:p w:rsidR="00FE3EF7" w:rsidRDefault="00D34195" w:rsidP="00FE3EF7">
      <w:pPr>
        <w:pStyle w:val="FootnoteText"/>
      </w:pPr>
      <w:r>
        <w:rPr>
          <w:rStyle w:val="FootnoteReference"/>
        </w:rPr>
        <w:footnoteRef/>
      </w:r>
      <w:r>
        <w:t xml:space="preserve"> </w:t>
      </w:r>
      <w:r>
        <w:tab/>
        <w:t>See s 27(1)(g) OIA and s 26(1)(g) LGOIMA.</w:t>
      </w:r>
    </w:p>
  </w:footnote>
  <w:footnote w:id="26">
    <w:p w:rsidR="00FE3EF7" w:rsidRDefault="00D34195" w:rsidP="00FE3EF7">
      <w:pPr>
        <w:pStyle w:val="FootnoteText"/>
      </w:pPr>
      <w:r>
        <w:rPr>
          <w:rStyle w:val="FootnoteReference"/>
        </w:rPr>
        <w:footnoteRef/>
      </w:r>
      <w:r>
        <w:t xml:space="preserve"> </w:t>
      </w:r>
      <w:r>
        <w:tab/>
        <w:t>See s 27(1)(h) OI</w:t>
      </w:r>
      <w:r>
        <w:t>A and s 26(1)(h) LGOIMA.</w:t>
      </w:r>
    </w:p>
  </w:footnote>
  <w:footnote w:id="27">
    <w:p w:rsidR="00FE3EF7" w:rsidRDefault="00D34195" w:rsidP="00FE3EF7">
      <w:pPr>
        <w:pStyle w:val="FootnoteText"/>
      </w:pPr>
      <w:r>
        <w:rPr>
          <w:rStyle w:val="FootnoteReference"/>
        </w:rPr>
        <w:footnoteRef/>
      </w:r>
      <w:r>
        <w:t xml:space="preserve"> </w:t>
      </w:r>
      <w:r>
        <w:tab/>
        <w:t>See s 24(1) OIA and s 23(1) LGOIMA.</w:t>
      </w:r>
    </w:p>
  </w:footnote>
  <w:footnote w:id="28">
    <w:p w:rsidR="00FE3EF7" w:rsidRDefault="00D34195" w:rsidP="00FE3EF7">
      <w:pPr>
        <w:pStyle w:val="FootnoteText"/>
      </w:pPr>
      <w:r>
        <w:rPr>
          <w:rStyle w:val="FootnoteReference"/>
        </w:rPr>
        <w:footnoteRef/>
      </w:r>
      <w:r>
        <w:t xml:space="preserve"> </w:t>
      </w:r>
      <w:r>
        <w:tab/>
        <w:t>See s 9 OIA and s 7 LGOIMA.</w:t>
      </w:r>
    </w:p>
  </w:footnote>
  <w:footnote w:id="29">
    <w:p w:rsidR="00FE3EF7" w:rsidRDefault="00D34195" w:rsidP="00FE3EF7">
      <w:pPr>
        <w:pStyle w:val="FootnoteText"/>
      </w:pPr>
      <w:r>
        <w:rPr>
          <w:rStyle w:val="FootnoteReference"/>
        </w:rPr>
        <w:footnoteRef/>
      </w:r>
      <w:r>
        <w:t xml:space="preserve"> </w:t>
      </w:r>
      <w:r>
        <w:tab/>
        <w:t>See s 27(1)(b) OIA and s 26(1)(b) LGOIMA.</w:t>
      </w:r>
    </w:p>
  </w:footnote>
  <w:footnote w:id="30">
    <w:p w:rsidR="00FE3EF7" w:rsidRDefault="00D34195" w:rsidP="00FE3EF7">
      <w:pPr>
        <w:pStyle w:val="FootnoteText"/>
      </w:pPr>
      <w:r>
        <w:rPr>
          <w:rStyle w:val="FootnoteReference"/>
        </w:rPr>
        <w:footnoteRef/>
      </w:r>
      <w:r>
        <w:t xml:space="preserve"> </w:t>
      </w:r>
      <w:r>
        <w:tab/>
        <w:t>See s 27(2) OIA and s 26(3) LGOIMA.</w:t>
      </w:r>
    </w:p>
  </w:footnote>
  <w:footnote w:id="31">
    <w:p w:rsidR="00FE3EF7" w:rsidRDefault="00D34195" w:rsidP="00FE3EF7">
      <w:pPr>
        <w:pStyle w:val="FootnoteText"/>
      </w:pPr>
      <w:r>
        <w:rPr>
          <w:rStyle w:val="FootnoteReference"/>
        </w:rPr>
        <w:footnoteRef/>
      </w:r>
      <w:r>
        <w:t xml:space="preserve"> </w:t>
      </w:r>
      <w:r>
        <w:tab/>
        <w:t>See s 12(2) OIA and s 10(2) LGOIMA.</w:t>
      </w:r>
    </w:p>
  </w:footnote>
  <w:footnote w:id="32">
    <w:p w:rsidR="00FE3EF7" w:rsidRDefault="00D34195" w:rsidP="00FE3EF7">
      <w:pPr>
        <w:pStyle w:val="FootnoteText"/>
      </w:pPr>
      <w:r>
        <w:rPr>
          <w:rStyle w:val="FootnoteReference"/>
        </w:rPr>
        <w:footnoteRef/>
      </w:r>
      <w:r>
        <w:t xml:space="preserve"> </w:t>
      </w:r>
      <w:r>
        <w:tab/>
        <w:t xml:space="preserve">See s 24(1)(b) OIA and s 23(1)(b) </w:t>
      </w:r>
      <w:r>
        <w:t>LGOIMA.</w:t>
      </w:r>
    </w:p>
  </w:footnote>
  <w:footnote w:id="33">
    <w:p w:rsidR="00FE3EF7" w:rsidRDefault="00D34195" w:rsidP="00FE3EF7">
      <w:pPr>
        <w:pStyle w:val="FootnoteText"/>
      </w:pPr>
      <w:r>
        <w:rPr>
          <w:rStyle w:val="FootnoteReference"/>
        </w:rPr>
        <w:footnoteRef/>
      </w:r>
      <w:r>
        <w:t xml:space="preserve"> </w:t>
      </w:r>
      <w:r>
        <w:tab/>
        <w:t>Section 15A of the OIA applies by virtue of s 24(3), and s 14 of the LGOIMA applies by virtue of s 23(2).</w:t>
      </w:r>
    </w:p>
  </w:footnote>
  <w:footnote w:id="34">
    <w:p w:rsidR="00FE3EF7" w:rsidRDefault="00D34195" w:rsidP="00FE3EF7">
      <w:pPr>
        <w:pStyle w:val="FootnoteText"/>
      </w:pPr>
      <w:r>
        <w:rPr>
          <w:rStyle w:val="FootnoteReference"/>
        </w:rPr>
        <w:footnoteRef/>
      </w:r>
      <w:r>
        <w:t xml:space="preserve"> </w:t>
      </w:r>
      <w:r>
        <w:tab/>
        <w:t>Section 15(1A) of the OIA applies by virtue of s 24(3), and s 13(1A) of the LGOIMA applies by virtue of s 23(2).</w:t>
      </w:r>
    </w:p>
  </w:footnote>
  <w:footnote w:id="35">
    <w:p w:rsidR="00FE3EF7" w:rsidRDefault="00D34195" w:rsidP="00FE3EF7">
      <w:pPr>
        <w:pStyle w:val="FootnoteText"/>
      </w:pPr>
      <w:r>
        <w:rPr>
          <w:rStyle w:val="FootnoteReference"/>
        </w:rPr>
        <w:footnoteRef/>
      </w:r>
      <w:r>
        <w:t xml:space="preserve"> </w:t>
      </w:r>
      <w:r>
        <w:tab/>
        <w:t>Section 16 of the OI</w:t>
      </w:r>
      <w:r>
        <w:t>A applies by virtue of s 24(3), and s 15 of the LGOIMA applies by virtue of s 23(2).</w:t>
      </w:r>
    </w:p>
  </w:footnote>
  <w:footnote w:id="36">
    <w:p w:rsidR="00FE3EF7" w:rsidRDefault="00D34195" w:rsidP="00FE3EF7">
      <w:pPr>
        <w:pStyle w:val="FootnoteText"/>
      </w:pPr>
      <w:r>
        <w:rPr>
          <w:rStyle w:val="FootnoteReference"/>
        </w:rPr>
        <w:footnoteRef/>
      </w:r>
      <w:r>
        <w:t xml:space="preserve"> </w:t>
      </w:r>
      <w:r>
        <w:tab/>
        <w:t>See s 35(1) OIA and s 38(1) LGOIMA.</w:t>
      </w:r>
      <w:r w:rsidRPr="007F3FEB">
        <w:t xml:space="preserve"> </w:t>
      </w:r>
      <w:r>
        <w:t xml:space="preserve">Note the exception of decisions to issue s 10 notices (s 8 LGOIMA). Such decisions are investigated under the OIA or LGOIMA. See </w:t>
      </w:r>
      <w:proofErr w:type="spellStart"/>
      <w:r>
        <w:t>ss</w:t>
      </w:r>
      <w:proofErr w:type="spellEnd"/>
      <w:r>
        <w:t xml:space="preserve"> </w:t>
      </w:r>
      <w:r>
        <w:t xml:space="preserve">35(1)(b) and 28(1)(d) of the OIA and </w:t>
      </w:r>
      <w:proofErr w:type="spellStart"/>
      <w:r>
        <w:t>ss</w:t>
      </w:r>
      <w:proofErr w:type="spellEnd"/>
      <w:r>
        <w:t xml:space="preserve"> 38(1) and 27(1)(d) of the LGOIMA.   </w:t>
      </w:r>
    </w:p>
  </w:footnote>
  <w:footnote w:id="37">
    <w:p w:rsidR="00FE3EF7" w:rsidRDefault="00D34195" w:rsidP="00FE3EF7">
      <w:pPr>
        <w:pStyle w:val="FootnoteText"/>
      </w:pPr>
      <w:r>
        <w:rPr>
          <w:rStyle w:val="FootnoteReference"/>
        </w:rPr>
        <w:footnoteRef/>
      </w:r>
      <w:r>
        <w:t xml:space="preserve"> </w:t>
      </w:r>
      <w:r>
        <w:tab/>
        <w:t>Recommendations under the Ombudsmen Act are not binding. In contrast, a public duty to comply with an Ombudsman’s recommendation under the OIA or LGOIMA comes into effect 21 wo</w:t>
      </w:r>
      <w:r>
        <w:t>rking days after it is made, unless vetoed by the Cabinet (under the OIA) or the local authority (under the LGOIMA); see s 32 OIA and LGOIMA.</w:t>
      </w:r>
    </w:p>
  </w:footnote>
  <w:footnote w:id="38">
    <w:p w:rsidR="00FE3EF7" w:rsidRDefault="00D34195" w:rsidP="00FE3EF7">
      <w:pPr>
        <w:pStyle w:val="FootnoteText"/>
      </w:pPr>
      <w:r>
        <w:rPr>
          <w:rStyle w:val="FootnoteReference"/>
        </w:rPr>
        <w:footnoteRef/>
      </w:r>
      <w:r>
        <w:t xml:space="preserve"> </w:t>
      </w:r>
      <w:r>
        <w:tab/>
        <w:t>See s 34 OIA and s 37 LGOIMA.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B0" w:rsidRDefault="00D34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4B" w:rsidRDefault="00D34195" w:rsidP="00B81F45">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A5B4B" w:rsidRPr="00661EC9" w:rsidRDefault="00D34195"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4B" w:rsidRPr="0077590F" w:rsidRDefault="00D34195" w:rsidP="0077590F">
    <w:pPr>
      <w:pStyle w:val="BodyText"/>
    </w:pPr>
    <w:bookmarkStart w:id="45" w:name="BG_Colour"/>
    <w:r>
      <w:rPr>
        <w:noProof/>
        <w:lang w:eastAsia="en-NZ"/>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9040" cy="4143375"/>
          <wp:effectExtent l="19050" t="0" r="3810" b="0"/>
          <wp:wrapNone/>
          <wp:docPr id="1" name="Picture 0" descr="OIA guide cover - 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108802" name="OIA guide cover - blue.tif"/>
                  <pic:cNvPicPr/>
                </pic:nvPicPr>
                <pic:blipFill>
                  <a:blip r:embed="rId1"/>
                  <a:stretch>
                    <a:fillRect/>
                  </a:stretch>
                </pic:blipFill>
                <pic:spPr>
                  <a:xfrm>
                    <a:off x="0" y="0"/>
                    <a:ext cx="7559040" cy="4143375"/>
                  </a:xfrm>
                  <a:prstGeom prst="rect">
                    <a:avLst/>
                  </a:prstGeom>
                </pic:spPr>
              </pic:pic>
            </a:graphicData>
          </a:graphic>
        </wp:anchor>
      </w:drawing>
    </w:r>
    <w:bookmarkEnd w:id="4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 w:numId="28">
    <w:abstractNumId w:val="7"/>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footnotePr>
    <w:footnote w:id="-1"/>
    <w:footnote w:id="0"/>
    <w:footnote w:id="1"/>
  </w:footnotePr>
  <w:endnotePr>
    <w:endnote w:id="-1"/>
    <w:endnote w:id="0"/>
  </w:endnotePr>
  <w:compat>
    <w:compatSetting w:name="compatibilityMode" w:uri="http://schemas.microsoft.com/office/word" w:val="12"/>
  </w:compat>
  <w:docVars>
    <w:docVar w:name="ColourOption" w:val="blue"/>
    <w:docVar w:name="dvShortText" w:val="Guide: Requests by corporate entities for their personal information August 2019 |"/>
    <w:docVar w:name="dvShortTextFrm" w:val="Guide: Requests by corporate entities for their personal information August 2019"/>
    <w:docVar w:name="IsfirstTb" w:val="True"/>
    <w:docVar w:name="IsInTable" w:val="False"/>
    <w:docVar w:name="OOTOTemplate" w:val="OOTO Strategic Services\Guide.dotm"/>
  </w:docVars>
  <w:rsids>
    <w:rsidRoot w:val="00B22E86"/>
    <w:rsid w:val="001B7441"/>
    <w:rsid w:val="002E1661"/>
    <w:rsid w:val="00443AB5"/>
    <w:rsid w:val="00777BD6"/>
    <w:rsid w:val="00B22E86"/>
    <w:rsid w:val="00D34195"/>
    <w:rsid w:val="00EB2986"/>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64EFC-C9CF-4C48-835D-9A73CA0E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FE7F31"/>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56954"/>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unhideWhenUsed/>
    <w:rsid w:val="002C04B2"/>
  </w:style>
  <w:style w:type="character" w:customStyle="1" w:styleId="BodyTextChar">
    <w:name w:val="Body Text Char"/>
    <w:basedOn w:val="DefaultParagraphFont"/>
    <w:link w:val="BodyText"/>
    <w:uiPriority w:val="2"/>
    <w:rsid w:val="002C04B2"/>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730E17"/>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730E17"/>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332CA4"/>
    <w:pPr>
      <w:pBdr>
        <w:bottom w:val="single" w:sz="8" w:space="1" w:color="00ADC6"/>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qFormat/>
    <w:rsid w:val="00FE7F31"/>
    <w:rPr>
      <w:color w:val="00ADC6"/>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332CA4"/>
    <w:pPr>
      <w:pBdr>
        <w:bottom w:val="single" w:sz="4" w:space="1" w:color="00ADC6"/>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56954"/>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752CCF"/>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730E17"/>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752CCF"/>
    <w:rPr>
      <w:color w:val="00B050"/>
    </w:rPr>
  </w:style>
  <w:style w:type="paragraph" w:customStyle="1" w:styleId="Heading1-Start">
    <w:name w:val="Heading 1 - Start"/>
    <w:basedOn w:val="Heading1"/>
    <w:next w:val="BodyText"/>
    <w:uiPriority w:val="1"/>
    <w:rsid w:val="00C11F64"/>
    <w:pPr>
      <w:pageBreakBefore/>
      <w:spacing w:before="0"/>
    </w:pPr>
  </w:style>
  <w:style w:type="paragraph" w:styleId="Title">
    <w:name w:val="Title"/>
    <w:basedOn w:val="Normalcolour"/>
    <w:next w:val="BodyText"/>
    <w:link w:val="TitleChar"/>
    <w:uiPriority w:val="1"/>
    <w:rsid w:val="00C11F64"/>
    <w:pPr>
      <w:spacing w:after="18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C11F64"/>
    <w:rPr>
      <w:rFonts w:ascii="Calibri" w:eastAsiaTheme="majorEastAsia" w:hAnsi="Calibri" w:cstheme="majorBidi"/>
      <w:color w:val="93B41A"/>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655FE7"/>
    <w:pPr>
      <w:numPr>
        <w:numId w:val="29"/>
      </w:numPr>
      <w:tabs>
        <w:tab w:val="clear" w:pos="284"/>
      </w:tabs>
    </w:pPr>
  </w:style>
  <w:style w:type="paragraph" w:customStyle="1" w:styleId="Introduction">
    <w:name w:val="Introduction"/>
    <w:basedOn w:val="Normal"/>
    <w:uiPriority w:val="98"/>
    <w:rsid w:val="00C826F9"/>
    <w:pPr>
      <w:ind w:right="1304"/>
    </w:pPr>
    <w:rPr>
      <w:i/>
      <w:color w:val="auto"/>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544866"/>
    <w:pPr>
      <w:ind w:left="1418" w:right="567"/>
    </w:pPr>
    <w:rPr>
      <w:i/>
      <w:color w:val="4D4D4D"/>
    </w:rPr>
  </w:style>
  <w:style w:type="paragraph" w:customStyle="1" w:styleId="BQLegindent2">
    <w:name w:val="BQLeg indent 2"/>
    <w:basedOn w:val="Normal"/>
    <w:uiPriority w:val="6"/>
    <w:rsid w:val="00544866"/>
    <w:pPr>
      <w:ind w:left="2126" w:right="567"/>
    </w:pPr>
    <w:rPr>
      <w:i/>
      <w:color w:val="4D4D4D"/>
    </w:rPr>
  </w:style>
  <w:style w:type="paragraph" w:customStyle="1" w:styleId="BQLegindent3">
    <w:name w:val="BQLeg indent 3"/>
    <w:basedOn w:val="Normal"/>
    <w:uiPriority w:val="6"/>
    <w:rsid w:val="00544866"/>
    <w:pPr>
      <w:ind w:left="2835" w:right="567"/>
    </w:pPr>
    <w:rPr>
      <w:i/>
      <w:color w:val="4D4D4D"/>
    </w:rPr>
  </w:style>
  <w:style w:type="paragraph" w:customStyle="1" w:styleId="BQLegstyle-1">
    <w:name w:val="BQLeg style - (1)"/>
    <w:basedOn w:val="Normal"/>
    <w:uiPriority w:val="6"/>
    <w:rsid w:val="00544866"/>
    <w:pPr>
      <w:tabs>
        <w:tab w:val="left" w:pos="1418"/>
      </w:tabs>
      <w:ind w:left="1418" w:right="567" w:hanging="851"/>
    </w:pPr>
    <w:rPr>
      <w:i/>
      <w:color w:val="4D4D4D"/>
    </w:rPr>
  </w:style>
  <w:style w:type="paragraph" w:customStyle="1" w:styleId="BQLegstyle-a">
    <w:name w:val="BQLeg style - (a)"/>
    <w:basedOn w:val="Normal"/>
    <w:uiPriority w:val="6"/>
    <w:rsid w:val="00544866"/>
    <w:pPr>
      <w:tabs>
        <w:tab w:val="left" w:pos="2126"/>
      </w:tabs>
      <w:ind w:left="2127" w:right="567" w:hanging="709"/>
    </w:pPr>
    <w:rPr>
      <w:i/>
      <w:color w:val="4D4D4D"/>
    </w:rPr>
  </w:style>
  <w:style w:type="paragraph" w:customStyle="1" w:styleId="BQLegstyle-i">
    <w:name w:val="BQLeg style - (i)"/>
    <w:basedOn w:val="Normal"/>
    <w:uiPriority w:val="6"/>
    <w:rsid w:val="00544866"/>
    <w:pPr>
      <w:tabs>
        <w:tab w:val="left" w:pos="2835"/>
      </w:tabs>
      <w:ind w:left="2835" w:right="567" w:hanging="709"/>
    </w:pPr>
    <w:rPr>
      <w:i/>
      <w:color w:val="4D4D4D"/>
    </w:rPr>
  </w:style>
  <w:style w:type="paragraph" w:customStyle="1" w:styleId="BQLegstyle-10">
    <w:name w:val="BQLeg style - 1"/>
    <w:basedOn w:val="Normal"/>
    <w:uiPriority w:val="6"/>
    <w:rsid w:val="00544866"/>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customStyle="1" w:styleId="BodyText1">
    <w:name w:val="Body Text1"/>
    <w:basedOn w:val="Normal"/>
    <w:uiPriority w:val="2"/>
    <w:rsid w:val="00FE3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act/public/1982/0156/latest/DLM65636.html?search=ts_act%40bill%40regulation%40deemedreg_official+information_resel_25_a&amp;p=1" TargetMode="External"/><Relationship Id="rId13" Type="http://schemas.openxmlformats.org/officeDocument/2006/relationships/image" Target="media/image1.png"/><Relationship Id="rId18" Type="http://schemas.openxmlformats.org/officeDocument/2006/relationships/hyperlink" Target="https://ombudsman.parliament.nz/resources?f%5B0%5D=category%3A214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ombudsman.parliament.nz/resources?f%5B0%5D=category%3A2146" TargetMode="External"/><Relationship Id="rId7" Type="http://schemas.openxmlformats.org/officeDocument/2006/relationships/endnotes" Target="endnotes.xml"/><Relationship Id="rId12" Type="http://schemas.openxmlformats.org/officeDocument/2006/relationships/hyperlink" Target="http://legislation.govt.nz/act/public/1982/0156/latest/DLM65381.html?search=ts_act%40bill%40regulation%40deemedreg_official+information_resel_25_a&amp;p=1" TargetMode="External"/><Relationship Id="rId17" Type="http://schemas.openxmlformats.org/officeDocument/2006/relationships/hyperlink" Target="https://ombudsman.parliament.nz/resources/requests-internal-decision-making-rules-guide-section-22-oia-and-section-21-lgoim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ombudsman.parliament.nz/resources/oia-ministers-and-agencies-guide-processing-official-information-requests" TargetMode="External"/><Relationship Id="rId20" Type="http://schemas.openxmlformats.org/officeDocument/2006/relationships/hyperlink" Target="https://ombudsman.parliament.nz/resources/lgoima-local-government-agencies-guide-processing-requests-and-conducting-meeting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on.govt.nz/act/public/1982/0156/latest/DLM65636.html?search=ts_act%40bill%40regulation%40deemedreg_official+information_resel_25_a&amp;p=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ocieties.govt.nz/cms/customer-support/learn-about-our-online-services/banner_template/SOCAGENT" TargetMode="External"/><Relationship Id="rId23" Type="http://schemas.openxmlformats.org/officeDocument/2006/relationships/hyperlink" Target="mailto:info@ombudsman.parliament.nz" TargetMode="External"/><Relationship Id="rId28" Type="http://schemas.openxmlformats.org/officeDocument/2006/relationships/header" Target="header3.xml"/><Relationship Id="rId10" Type="http://schemas.openxmlformats.org/officeDocument/2006/relationships/hyperlink" Target="http://legislation.govt.nz/regulation/public/1989/0064/latest/DLM129834.html?src=qs" TargetMode="External"/><Relationship Id="rId19" Type="http://schemas.openxmlformats.org/officeDocument/2006/relationships/hyperlink" Target="Https://ombudsman.parliament.nz/resources/oia-ministers-and-agencies-guide-processing-official-information-reques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islation.govt.nz/act/public/1987/0174/latest/DLM123022.html?search=ts_act%40bill%40regulation%40deemedreg_official+information_resel_25_a&amp;p=1" TargetMode="External"/><Relationship Id="rId14" Type="http://schemas.openxmlformats.org/officeDocument/2006/relationships/hyperlink" Target="https://www.business.govt.nz/companies/learn-about/searching" TargetMode="External"/><Relationship Id="rId22" Type="http://schemas.openxmlformats.org/officeDocument/2006/relationships/hyperlink" Target="http://www.ombudsman.parliament.nz"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mbudsman.parliament.nz/resources/oia-ministers-and-agencies-guide-processing-official-information-requests" TargetMode="External"/><Relationship Id="rId2" Type="http://schemas.openxmlformats.org/officeDocument/2006/relationships/hyperlink" Target="Https://ombudsman.parliament.nz/resources/requests-reasons-decision-or-recommendation-guide-section-23-oia-and-section-22-lgoima" TargetMode="External"/><Relationship Id="rId1" Type="http://schemas.openxmlformats.org/officeDocument/2006/relationships/hyperlink" Target="https://ombudsman.parliament.nz/resources/requests-internal-decision-making-rules-guide-section-22-oia-and-section-21-lgoima" TargetMode="External"/><Relationship Id="rId4" Type="http://schemas.openxmlformats.org/officeDocument/2006/relationships/hyperlink" Target="https://ombudsman.parliament.nz/resources/lgoima-local-government-agencies-guide-processing-requests-and-conducting-meeting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tif"/></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Strategic%20Services\Gu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81EEB-3456-4985-ACF2-0A2E32FE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Template>
  <TotalTime>9</TotalTime>
  <Pages>14</Pages>
  <Words>3635</Words>
  <Characters>20724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antoniadm</dc:creator>
  <cp:lastModifiedBy>Antonia Di Maio</cp:lastModifiedBy>
  <cp:revision>7</cp:revision>
  <cp:lastPrinted>2019-08-09T04:39:00Z</cp:lastPrinted>
  <dcterms:created xsi:type="dcterms:W3CDTF">2019-08-09T04:30:00Z</dcterms:created>
  <dcterms:modified xsi:type="dcterms:W3CDTF">2019-08-09T04:39:00Z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0197-0CE3-E553-DC3F</vt:lpwstr>
  </property>
  <property fmtid="{D5CDD505-2E9C-101B-9397-08002B2CF9AE}" pid="3" name="Template">
    <vt:lpwstr>V7</vt:lpwstr>
  </property>
</Properties>
</file>